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EB3067" w14:textId="77777777" w:rsidR="000C325A" w:rsidRPr="000C325A" w:rsidRDefault="000C325A" w:rsidP="000C325A">
      <w:pPr>
        <w:pStyle w:val="Subtitle"/>
      </w:pPr>
    </w:p>
    <w:p w14:paraId="487B493A" w14:textId="77777777" w:rsidR="000C325A" w:rsidRDefault="000C325A" w:rsidP="000C325A">
      <w:pPr>
        <w:pStyle w:val="Title"/>
      </w:pPr>
    </w:p>
    <w:p w14:paraId="0F73E5CA" w14:textId="3AB4E328" w:rsidR="002659E4" w:rsidRDefault="000C325A" w:rsidP="000C325A">
      <w:pPr>
        <w:pStyle w:val="Title"/>
        <w:jc w:val="center"/>
      </w:pPr>
      <w:bookmarkStart w:id="0" w:name="_Toc158709215"/>
      <w:bookmarkStart w:id="1" w:name="_Toc158713164"/>
      <w:bookmarkStart w:id="2" w:name="_Toc158715617"/>
      <w:bookmarkStart w:id="3" w:name="_Toc158715998"/>
      <w:bookmarkStart w:id="4" w:name="_Toc158716390"/>
      <w:bookmarkStart w:id="5" w:name="_Toc158716468"/>
      <w:bookmarkStart w:id="6" w:name="_Toc158716623"/>
      <w:bookmarkStart w:id="7" w:name="_Toc158717125"/>
      <w:bookmarkStart w:id="8" w:name="_Toc158717443"/>
      <w:r>
        <w:t>Display Screen Equipment (DSE) Guidance</w:t>
      </w:r>
      <w:bookmarkEnd w:id="0"/>
      <w:bookmarkEnd w:id="1"/>
      <w:bookmarkEnd w:id="2"/>
      <w:bookmarkEnd w:id="3"/>
      <w:bookmarkEnd w:id="4"/>
      <w:bookmarkEnd w:id="5"/>
      <w:bookmarkEnd w:id="6"/>
      <w:bookmarkEnd w:id="7"/>
      <w:bookmarkEnd w:id="8"/>
    </w:p>
    <w:p w14:paraId="6C4330AD" w14:textId="139570E7" w:rsidR="002659E4" w:rsidRDefault="000C325A" w:rsidP="000C325A">
      <w:pPr>
        <w:pStyle w:val="Subtitle"/>
        <w:jc w:val="center"/>
      </w:pPr>
      <w:bookmarkStart w:id="9" w:name="_Toc158709216"/>
      <w:bookmarkStart w:id="10" w:name="_Toc158713165"/>
      <w:bookmarkStart w:id="11" w:name="_Toc158715618"/>
      <w:bookmarkStart w:id="12" w:name="_Toc158715999"/>
      <w:bookmarkStart w:id="13" w:name="_Toc158716391"/>
      <w:bookmarkStart w:id="14" w:name="_Toc158716469"/>
      <w:bookmarkStart w:id="15" w:name="_Toc158716624"/>
      <w:bookmarkStart w:id="16" w:name="_Toc158717126"/>
      <w:bookmarkStart w:id="17" w:name="_Toc158717444"/>
      <w:r>
        <w:t>Ref: OHS 8.3</w:t>
      </w:r>
      <w:bookmarkEnd w:id="9"/>
      <w:bookmarkEnd w:id="10"/>
      <w:bookmarkEnd w:id="11"/>
      <w:bookmarkEnd w:id="12"/>
      <w:bookmarkEnd w:id="13"/>
      <w:bookmarkEnd w:id="14"/>
      <w:bookmarkEnd w:id="15"/>
      <w:bookmarkEnd w:id="16"/>
      <w:bookmarkEnd w:id="17"/>
    </w:p>
    <w:p w14:paraId="43E1A22D" w14:textId="77777777" w:rsidR="000C325A" w:rsidRDefault="000C325A" w:rsidP="000C325A">
      <w:pPr>
        <w:pStyle w:val="BodyText"/>
      </w:pPr>
    </w:p>
    <w:p w14:paraId="183F7037" w14:textId="77777777" w:rsidR="000C325A" w:rsidRDefault="000C325A" w:rsidP="000C325A">
      <w:pPr>
        <w:pStyle w:val="BodyText"/>
      </w:pPr>
    </w:p>
    <w:p w14:paraId="35E2399D" w14:textId="77777777" w:rsidR="000C325A" w:rsidRDefault="000C325A" w:rsidP="000C325A">
      <w:pPr>
        <w:pStyle w:val="BodyText"/>
      </w:pPr>
    </w:p>
    <w:p w14:paraId="4DCA5800" w14:textId="38555D8D" w:rsidR="000C325A" w:rsidRDefault="000C325A" w:rsidP="000C325A">
      <w:pPr>
        <w:pStyle w:val="Heading2"/>
        <w:jc w:val="center"/>
      </w:pPr>
      <w:bookmarkStart w:id="18" w:name="_Toc158709217"/>
      <w:bookmarkStart w:id="19" w:name="_Toc158713166"/>
      <w:bookmarkStart w:id="20" w:name="_Toc158715619"/>
      <w:bookmarkStart w:id="21" w:name="_Toc158716000"/>
      <w:bookmarkStart w:id="22" w:name="_Toc158716392"/>
      <w:bookmarkStart w:id="23" w:name="_Toc158716470"/>
      <w:bookmarkStart w:id="24" w:name="_Toc158716625"/>
      <w:bookmarkStart w:id="25" w:name="_Toc158717127"/>
      <w:bookmarkStart w:id="26" w:name="_Toc158717445"/>
      <w:r>
        <w:t>MoJ Corporate Fire, Health, and Safety</w:t>
      </w:r>
      <w:bookmarkEnd w:id="18"/>
      <w:bookmarkEnd w:id="19"/>
      <w:bookmarkEnd w:id="20"/>
      <w:bookmarkEnd w:id="21"/>
      <w:bookmarkEnd w:id="22"/>
      <w:bookmarkEnd w:id="23"/>
      <w:bookmarkEnd w:id="24"/>
      <w:bookmarkEnd w:id="25"/>
      <w:bookmarkEnd w:id="26"/>
    </w:p>
    <w:p w14:paraId="0F524507" w14:textId="5B8E607C" w:rsidR="000C325A" w:rsidRDefault="000C325A" w:rsidP="000C325A">
      <w:pPr>
        <w:pStyle w:val="BodyText"/>
        <w:spacing w:after="0"/>
        <w:jc w:val="center"/>
      </w:pPr>
      <w:r>
        <w:t>Version: 1</w:t>
      </w:r>
    </w:p>
    <w:p w14:paraId="4EF9EEAC" w14:textId="1D5FD3FA" w:rsidR="000C325A" w:rsidRDefault="000C325A" w:rsidP="000C325A">
      <w:pPr>
        <w:pStyle w:val="BodyText"/>
        <w:spacing w:after="0"/>
        <w:jc w:val="center"/>
      </w:pPr>
      <w:r>
        <w:t>Issue Date:01/04/2024</w:t>
      </w:r>
    </w:p>
    <w:p w14:paraId="419F74BB" w14:textId="1C46337D" w:rsidR="000C325A" w:rsidRPr="000C325A" w:rsidRDefault="000C325A" w:rsidP="000C325A">
      <w:pPr>
        <w:pStyle w:val="BodyText"/>
        <w:spacing w:after="0"/>
        <w:jc w:val="center"/>
      </w:pPr>
      <w:r>
        <w:t>Review Date: 01/04/2027</w:t>
      </w:r>
    </w:p>
    <w:p w14:paraId="708172B5" w14:textId="77777777" w:rsidR="000C325A" w:rsidRDefault="000C325A" w:rsidP="000C325A">
      <w:pPr>
        <w:pStyle w:val="BodyText"/>
      </w:pPr>
    </w:p>
    <w:p w14:paraId="1108C975" w14:textId="77777777" w:rsidR="000C325A" w:rsidRDefault="000C325A" w:rsidP="000C325A">
      <w:pPr>
        <w:pStyle w:val="BodyText"/>
      </w:pPr>
    </w:p>
    <w:p w14:paraId="56C22232" w14:textId="77777777" w:rsidR="000C325A" w:rsidRDefault="000C325A" w:rsidP="000C325A">
      <w:pPr>
        <w:pStyle w:val="BodyText"/>
      </w:pPr>
    </w:p>
    <w:p w14:paraId="1D1BC705" w14:textId="77777777" w:rsidR="00316088" w:rsidRDefault="00316088" w:rsidP="000C325A">
      <w:pPr>
        <w:pStyle w:val="BodyText"/>
      </w:pPr>
    </w:p>
    <w:p w14:paraId="505C20AD" w14:textId="77777777" w:rsidR="000C325A" w:rsidRDefault="000C325A" w:rsidP="000C325A">
      <w:pPr>
        <w:pStyle w:val="BodyText"/>
      </w:pPr>
    </w:p>
    <w:p w14:paraId="6E88D7E3" w14:textId="2010EFBD" w:rsidR="000C325A" w:rsidRPr="00F03A10" w:rsidRDefault="000C325A" w:rsidP="000C325A">
      <w:pPr>
        <w:pStyle w:val="EmphasisHeading"/>
        <w:jc w:val="center"/>
        <w:rPr>
          <w:color w:val="auto"/>
        </w:rPr>
      </w:pPr>
      <w:r w:rsidRPr="00F03A10">
        <w:rPr>
          <w:color w:val="auto"/>
        </w:rPr>
        <w:t>Uncontrolled if Printed or Downloaded</w:t>
      </w:r>
    </w:p>
    <w:p w14:paraId="11404AC8" w14:textId="19F4E2A7" w:rsidR="00031B57" w:rsidRPr="00F03A10" w:rsidRDefault="00031B57">
      <w:pPr>
        <w:spacing w:after="160" w:line="259" w:lineRule="auto"/>
      </w:pPr>
      <w:r w:rsidRPr="00F03A10">
        <w:br w:type="page"/>
      </w:r>
    </w:p>
    <w:sdt>
      <w:sdtPr>
        <w:rPr>
          <w:rFonts w:asciiTheme="minorHAnsi" w:eastAsiaTheme="minorHAnsi" w:hAnsiTheme="minorHAnsi" w:cstheme="minorBidi"/>
          <w:b w:val="0"/>
          <w:color w:val="auto"/>
          <w:sz w:val="24"/>
          <w:szCs w:val="22"/>
        </w:rPr>
        <w:id w:val="1365945365"/>
        <w:docPartObj>
          <w:docPartGallery w:val="Table of Contents"/>
          <w:docPartUnique/>
        </w:docPartObj>
      </w:sdtPr>
      <w:sdtEndPr>
        <w:rPr>
          <w:bCs/>
          <w:noProof/>
        </w:rPr>
      </w:sdtEndPr>
      <w:sdtContent>
        <w:p w14:paraId="3D76DD42" w14:textId="53636F66" w:rsidR="00953F38" w:rsidRPr="00F03A10" w:rsidRDefault="00953F38">
          <w:pPr>
            <w:pStyle w:val="TOCHeading"/>
            <w:rPr>
              <w:color w:val="auto"/>
            </w:rPr>
          </w:pPr>
          <w:r w:rsidRPr="00F03A10">
            <w:rPr>
              <w:color w:val="auto"/>
            </w:rPr>
            <w:t>Contents</w:t>
          </w:r>
        </w:p>
        <w:p w14:paraId="7DFD6534" w14:textId="4011CCBD" w:rsidR="00F727CE" w:rsidRPr="00F03A10" w:rsidRDefault="00953F38">
          <w:pPr>
            <w:pStyle w:val="TOC1"/>
            <w:rPr>
              <w:rFonts w:eastAsiaTheme="minorEastAsia"/>
              <w:b w:val="0"/>
              <w:noProof/>
              <w:kern w:val="2"/>
              <w:sz w:val="22"/>
              <w:lang w:eastAsia="en-GB"/>
              <w14:ligatures w14:val="standardContextual"/>
            </w:rPr>
          </w:pPr>
          <w:r w:rsidRPr="00F03A10">
            <w:fldChar w:fldCharType="begin"/>
          </w:r>
          <w:r w:rsidRPr="00F03A10">
            <w:instrText xml:space="preserve"> TOC \o "1-3" \h \z \u </w:instrText>
          </w:r>
          <w:r w:rsidRPr="00F03A10">
            <w:fldChar w:fldCharType="separate"/>
          </w:r>
          <w:hyperlink w:anchor="_Toc158717128" w:history="1">
            <w:r w:rsidR="00F727CE" w:rsidRPr="00F03A10">
              <w:rPr>
                <w:rStyle w:val="Hyperlink"/>
                <w:noProof/>
                <w:color w:val="auto"/>
              </w:rPr>
              <w:t>Purpose</w:t>
            </w:r>
            <w:r w:rsidR="00F727CE" w:rsidRPr="00F03A10">
              <w:rPr>
                <w:noProof/>
                <w:webHidden/>
              </w:rPr>
              <w:tab/>
            </w:r>
            <w:r w:rsidR="00F727CE" w:rsidRPr="00F03A10">
              <w:rPr>
                <w:noProof/>
                <w:webHidden/>
              </w:rPr>
              <w:fldChar w:fldCharType="begin"/>
            </w:r>
            <w:r w:rsidR="00F727CE" w:rsidRPr="00F03A10">
              <w:rPr>
                <w:noProof/>
                <w:webHidden/>
              </w:rPr>
              <w:instrText xml:space="preserve"> PAGEREF _Toc158717128 \h </w:instrText>
            </w:r>
            <w:r w:rsidR="00F727CE" w:rsidRPr="00F03A10">
              <w:rPr>
                <w:noProof/>
                <w:webHidden/>
              </w:rPr>
            </w:r>
            <w:r w:rsidR="00F727CE" w:rsidRPr="00F03A10">
              <w:rPr>
                <w:noProof/>
                <w:webHidden/>
              </w:rPr>
              <w:fldChar w:fldCharType="separate"/>
            </w:r>
            <w:r w:rsidR="00F727CE" w:rsidRPr="00F03A10">
              <w:rPr>
                <w:noProof/>
                <w:webHidden/>
              </w:rPr>
              <w:t>3</w:t>
            </w:r>
            <w:r w:rsidR="00F727CE" w:rsidRPr="00F03A10">
              <w:rPr>
                <w:noProof/>
                <w:webHidden/>
              </w:rPr>
              <w:fldChar w:fldCharType="end"/>
            </w:r>
          </w:hyperlink>
        </w:p>
        <w:p w14:paraId="7D206A7C" w14:textId="2C47D056" w:rsidR="00F727CE" w:rsidRPr="00F03A10" w:rsidRDefault="00F727CE">
          <w:pPr>
            <w:pStyle w:val="TOC1"/>
            <w:rPr>
              <w:rFonts w:eastAsiaTheme="minorEastAsia"/>
              <w:b w:val="0"/>
              <w:noProof/>
              <w:kern w:val="2"/>
              <w:sz w:val="22"/>
              <w:lang w:eastAsia="en-GB"/>
              <w14:ligatures w14:val="standardContextual"/>
            </w:rPr>
          </w:pPr>
          <w:hyperlink w:anchor="_Toc158717129" w:history="1">
            <w:r w:rsidRPr="00F03A10">
              <w:rPr>
                <w:rStyle w:val="Hyperlink"/>
                <w:noProof/>
                <w:color w:val="auto"/>
              </w:rPr>
              <w:t>Scope</w:t>
            </w:r>
            <w:r w:rsidRPr="00F03A10">
              <w:rPr>
                <w:noProof/>
                <w:webHidden/>
              </w:rPr>
              <w:tab/>
            </w:r>
            <w:r w:rsidRPr="00F03A10">
              <w:rPr>
                <w:noProof/>
                <w:webHidden/>
              </w:rPr>
              <w:fldChar w:fldCharType="begin"/>
            </w:r>
            <w:r w:rsidRPr="00F03A10">
              <w:rPr>
                <w:noProof/>
                <w:webHidden/>
              </w:rPr>
              <w:instrText xml:space="preserve"> PAGEREF _Toc158717129 \h </w:instrText>
            </w:r>
            <w:r w:rsidRPr="00F03A10">
              <w:rPr>
                <w:noProof/>
                <w:webHidden/>
              </w:rPr>
            </w:r>
            <w:r w:rsidRPr="00F03A10">
              <w:rPr>
                <w:noProof/>
                <w:webHidden/>
              </w:rPr>
              <w:fldChar w:fldCharType="separate"/>
            </w:r>
            <w:r w:rsidRPr="00F03A10">
              <w:rPr>
                <w:noProof/>
                <w:webHidden/>
              </w:rPr>
              <w:t>3</w:t>
            </w:r>
            <w:r w:rsidRPr="00F03A10">
              <w:rPr>
                <w:noProof/>
                <w:webHidden/>
              </w:rPr>
              <w:fldChar w:fldCharType="end"/>
            </w:r>
          </w:hyperlink>
        </w:p>
        <w:p w14:paraId="5FA20052" w14:textId="332F1F19" w:rsidR="00F727CE" w:rsidRPr="00F03A10" w:rsidRDefault="00F727CE">
          <w:pPr>
            <w:pStyle w:val="TOC1"/>
            <w:rPr>
              <w:rFonts w:eastAsiaTheme="minorEastAsia"/>
              <w:b w:val="0"/>
              <w:noProof/>
              <w:kern w:val="2"/>
              <w:sz w:val="22"/>
              <w:lang w:eastAsia="en-GB"/>
              <w14:ligatures w14:val="standardContextual"/>
            </w:rPr>
          </w:pPr>
          <w:hyperlink w:anchor="_Toc158717130" w:history="1">
            <w:r w:rsidRPr="00F03A10">
              <w:rPr>
                <w:rStyle w:val="Hyperlink"/>
                <w:noProof/>
                <w:color w:val="auto"/>
              </w:rPr>
              <w:t>Definitions</w:t>
            </w:r>
            <w:r w:rsidRPr="00F03A10">
              <w:rPr>
                <w:noProof/>
                <w:webHidden/>
              </w:rPr>
              <w:tab/>
            </w:r>
            <w:r w:rsidRPr="00F03A10">
              <w:rPr>
                <w:noProof/>
                <w:webHidden/>
              </w:rPr>
              <w:fldChar w:fldCharType="begin"/>
            </w:r>
            <w:r w:rsidRPr="00F03A10">
              <w:rPr>
                <w:noProof/>
                <w:webHidden/>
              </w:rPr>
              <w:instrText xml:space="preserve"> PAGEREF _Toc158717130 \h </w:instrText>
            </w:r>
            <w:r w:rsidRPr="00F03A10">
              <w:rPr>
                <w:noProof/>
                <w:webHidden/>
              </w:rPr>
            </w:r>
            <w:r w:rsidRPr="00F03A10">
              <w:rPr>
                <w:noProof/>
                <w:webHidden/>
              </w:rPr>
              <w:fldChar w:fldCharType="separate"/>
            </w:r>
            <w:r w:rsidRPr="00F03A10">
              <w:rPr>
                <w:noProof/>
                <w:webHidden/>
              </w:rPr>
              <w:t>3</w:t>
            </w:r>
            <w:r w:rsidRPr="00F03A10">
              <w:rPr>
                <w:noProof/>
                <w:webHidden/>
              </w:rPr>
              <w:fldChar w:fldCharType="end"/>
            </w:r>
          </w:hyperlink>
        </w:p>
        <w:p w14:paraId="64F32B92" w14:textId="508C32DE" w:rsidR="00F727CE" w:rsidRPr="00F03A10" w:rsidRDefault="00F727CE">
          <w:pPr>
            <w:pStyle w:val="TOC1"/>
            <w:rPr>
              <w:rFonts w:eastAsiaTheme="minorEastAsia"/>
              <w:b w:val="0"/>
              <w:noProof/>
              <w:kern w:val="2"/>
              <w:sz w:val="22"/>
              <w:lang w:eastAsia="en-GB"/>
              <w14:ligatures w14:val="standardContextual"/>
            </w:rPr>
          </w:pPr>
          <w:hyperlink w:anchor="_Toc158717131" w:history="1">
            <w:r w:rsidRPr="00F03A10">
              <w:rPr>
                <w:rStyle w:val="Hyperlink"/>
                <w:noProof/>
                <w:color w:val="auto"/>
              </w:rPr>
              <w:t>Legislation</w:t>
            </w:r>
            <w:r w:rsidRPr="00F03A10">
              <w:rPr>
                <w:noProof/>
                <w:webHidden/>
              </w:rPr>
              <w:tab/>
            </w:r>
            <w:r w:rsidRPr="00F03A10">
              <w:rPr>
                <w:noProof/>
                <w:webHidden/>
              </w:rPr>
              <w:fldChar w:fldCharType="begin"/>
            </w:r>
            <w:r w:rsidRPr="00F03A10">
              <w:rPr>
                <w:noProof/>
                <w:webHidden/>
              </w:rPr>
              <w:instrText xml:space="preserve"> PAGEREF _Toc158717131 \h </w:instrText>
            </w:r>
            <w:r w:rsidRPr="00F03A10">
              <w:rPr>
                <w:noProof/>
                <w:webHidden/>
              </w:rPr>
            </w:r>
            <w:r w:rsidRPr="00F03A10">
              <w:rPr>
                <w:noProof/>
                <w:webHidden/>
              </w:rPr>
              <w:fldChar w:fldCharType="separate"/>
            </w:r>
            <w:r w:rsidRPr="00F03A10">
              <w:rPr>
                <w:noProof/>
                <w:webHidden/>
              </w:rPr>
              <w:t>4</w:t>
            </w:r>
            <w:r w:rsidRPr="00F03A10">
              <w:rPr>
                <w:noProof/>
                <w:webHidden/>
              </w:rPr>
              <w:fldChar w:fldCharType="end"/>
            </w:r>
          </w:hyperlink>
        </w:p>
        <w:p w14:paraId="5FDB5B73" w14:textId="1B32B3B7" w:rsidR="00F727CE" w:rsidRPr="00F03A10" w:rsidRDefault="00F727CE">
          <w:pPr>
            <w:pStyle w:val="TOC1"/>
            <w:rPr>
              <w:rFonts w:eastAsiaTheme="minorEastAsia"/>
              <w:b w:val="0"/>
              <w:noProof/>
              <w:kern w:val="2"/>
              <w:sz w:val="22"/>
              <w:lang w:eastAsia="en-GB"/>
              <w14:ligatures w14:val="standardContextual"/>
            </w:rPr>
          </w:pPr>
          <w:hyperlink w:anchor="_Toc158717132" w:history="1">
            <w:r w:rsidRPr="00F03A10">
              <w:rPr>
                <w:rStyle w:val="Hyperlink"/>
                <w:noProof/>
                <w:color w:val="auto"/>
              </w:rPr>
              <w:t>Responsibilities</w:t>
            </w:r>
            <w:r w:rsidRPr="00F03A10">
              <w:rPr>
                <w:noProof/>
                <w:webHidden/>
              </w:rPr>
              <w:tab/>
            </w:r>
            <w:r w:rsidRPr="00F03A10">
              <w:rPr>
                <w:noProof/>
                <w:webHidden/>
              </w:rPr>
              <w:fldChar w:fldCharType="begin"/>
            </w:r>
            <w:r w:rsidRPr="00F03A10">
              <w:rPr>
                <w:noProof/>
                <w:webHidden/>
              </w:rPr>
              <w:instrText xml:space="preserve"> PAGEREF _Toc158717132 \h </w:instrText>
            </w:r>
            <w:r w:rsidRPr="00F03A10">
              <w:rPr>
                <w:noProof/>
                <w:webHidden/>
              </w:rPr>
            </w:r>
            <w:r w:rsidRPr="00F03A10">
              <w:rPr>
                <w:noProof/>
                <w:webHidden/>
              </w:rPr>
              <w:fldChar w:fldCharType="separate"/>
            </w:r>
            <w:r w:rsidRPr="00F03A10">
              <w:rPr>
                <w:noProof/>
                <w:webHidden/>
              </w:rPr>
              <w:t>4</w:t>
            </w:r>
            <w:r w:rsidRPr="00F03A10">
              <w:rPr>
                <w:noProof/>
                <w:webHidden/>
              </w:rPr>
              <w:fldChar w:fldCharType="end"/>
            </w:r>
          </w:hyperlink>
        </w:p>
        <w:p w14:paraId="7D503BB1" w14:textId="0744DEF1" w:rsidR="00F727CE" w:rsidRPr="00F03A10" w:rsidRDefault="00F727CE">
          <w:pPr>
            <w:pStyle w:val="TOC1"/>
            <w:rPr>
              <w:rFonts w:eastAsiaTheme="minorEastAsia"/>
              <w:b w:val="0"/>
              <w:noProof/>
              <w:kern w:val="2"/>
              <w:sz w:val="22"/>
              <w:lang w:eastAsia="en-GB"/>
              <w14:ligatures w14:val="standardContextual"/>
            </w:rPr>
          </w:pPr>
          <w:hyperlink w:anchor="_Toc158717133" w:history="1">
            <w:r w:rsidRPr="00F03A10">
              <w:rPr>
                <w:rStyle w:val="Hyperlink"/>
                <w:noProof/>
                <w:color w:val="auto"/>
              </w:rPr>
              <w:t>Procedure</w:t>
            </w:r>
            <w:r w:rsidRPr="00F03A10">
              <w:rPr>
                <w:noProof/>
                <w:webHidden/>
              </w:rPr>
              <w:tab/>
            </w:r>
            <w:r w:rsidRPr="00F03A10">
              <w:rPr>
                <w:noProof/>
                <w:webHidden/>
              </w:rPr>
              <w:fldChar w:fldCharType="begin"/>
            </w:r>
            <w:r w:rsidRPr="00F03A10">
              <w:rPr>
                <w:noProof/>
                <w:webHidden/>
              </w:rPr>
              <w:instrText xml:space="preserve"> PAGEREF _Toc158717133 \h </w:instrText>
            </w:r>
            <w:r w:rsidRPr="00F03A10">
              <w:rPr>
                <w:noProof/>
                <w:webHidden/>
              </w:rPr>
            </w:r>
            <w:r w:rsidRPr="00F03A10">
              <w:rPr>
                <w:noProof/>
                <w:webHidden/>
              </w:rPr>
              <w:fldChar w:fldCharType="separate"/>
            </w:r>
            <w:r w:rsidRPr="00F03A10">
              <w:rPr>
                <w:noProof/>
                <w:webHidden/>
              </w:rPr>
              <w:t>6</w:t>
            </w:r>
            <w:r w:rsidRPr="00F03A10">
              <w:rPr>
                <w:noProof/>
                <w:webHidden/>
              </w:rPr>
              <w:fldChar w:fldCharType="end"/>
            </w:r>
          </w:hyperlink>
        </w:p>
        <w:p w14:paraId="0A0EEB3E" w14:textId="4861F955" w:rsidR="00F727CE" w:rsidRPr="00F03A10" w:rsidRDefault="00F727CE">
          <w:pPr>
            <w:pStyle w:val="TOC1"/>
            <w:rPr>
              <w:rFonts w:eastAsiaTheme="minorEastAsia"/>
              <w:b w:val="0"/>
              <w:noProof/>
              <w:kern w:val="2"/>
              <w:sz w:val="22"/>
              <w:lang w:eastAsia="en-GB"/>
              <w14:ligatures w14:val="standardContextual"/>
            </w:rPr>
          </w:pPr>
          <w:hyperlink w:anchor="_Toc158717134" w:history="1">
            <w:r w:rsidRPr="00F03A10">
              <w:rPr>
                <w:rStyle w:val="Hyperlink"/>
                <w:noProof/>
                <w:color w:val="auto"/>
              </w:rPr>
              <w:t>Training</w:t>
            </w:r>
            <w:r w:rsidRPr="00F03A10">
              <w:rPr>
                <w:noProof/>
                <w:webHidden/>
              </w:rPr>
              <w:tab/>
            </w:r>
            <w:r w:rsidRPr="00F03A10">
              <w:rPr>
                <w:noProof/>
                <w:webHidden/>
              </w:rPr>
              <w:fldChar w:fldCharType="begin"/>
            </w:r>
            <w:r w:rsidRPr="00F03A10">
              <w:rPr>
                <w:noProof/>
                <w:webHidden/>
              </w:rPr>
              <w:instrText xml:space="preserve"> PAGEREF _Toc158717134 \h </w:instrText>
            </w:r>
            <w:r w:rsidRPr="00F03A10">
              <w:rPr>
                <w:noProof/>
                <w:webHidden/>
              </w:rPr>
            </w:r>
            <w:r w:rsidRPr="00F03A10">
              <w:rPr>
                <w:noProof/>
                <w:webHidden/>
              </w:rPr>
              <w:fldChar w:fldCharType="separate"/>
            </w:r>
            <w:r w:rsidRPr="00F03A10">
              <w:rPr>
                <w:noProof/>
                <w:webHidden/>
              </w:rPr>
              <w:t>8</w:t>
            </w:r>
            <w:r w:rsidRPr="00F03A10">
              <w:rPr>
                <w:noProof/>
                <w:webHidden/>
              </w:rPr>
              <w:fldChar w:fldCharType="end"/>
            </w:r>
          </w:hyperlink>
        </w:p>
        <w:p w14:paraId="79635966" w14:textId="51EF6B15" w:rsidR="00F727CE" w:rsidRPr="00F03A10" w:rsidRDefault="00F727CE">
          <w:pPr>
            <w:pStyle w:val="TOC1"/>
            <w:rPr>
              <w:rFonts w:eastAsiaTheme="minorEastAsia"/>
              <w:b w:val="0"/>
              <w:noProof/>
              <w:kern w:val="2"/>
              <w:sz w:val="22"/>
              <w:lang w:eastAsia="en-GB"/>
              <w14:ligatures w14:val="standardContextual"/>
            </w:rPr>
          </w:pPr>
          <w:hyperlink w:anchor="_Toc158717135" w:history="1">
            <w:r w:rsidRPr="00F03A10">
              <w:rPr>
                <w:rStyle w:val="Hyperlink"/>
                <w:noProof/>
                <w:color w:val="auto"/>
              </w:rPr>
              <w:t>Measuring Performance</w:t>
            </w:r>
            <w:r w:rsidRPr="00F03A10">
              <w:rPr>
                <w:noProof/>
                <w:webHidden/>
              </w:rPr>
              <w:tab/>
            </w:r>
            <w:r w:rsidRPr="00F03A10">
              <w:rPr>
                <w:noProof/>
                <w:webHidden/>
              </w:rPr>
              <w:fldChar w:fldCharType="begin"/>
            </w:r>
            <w:r w:rsidRPr="00F03A10">
              <w:rPr>
                <w:noProof/>
                <w:webHidden/>
              </w:rPr>
              <w:instrText xml:space="preserve"> PAGEREF _Toc158717135 \h </w:instrText>
            </w:r>
            <w:r w:rsidRPr="00F03A10">
              <w:rPr>
                <w:noProof/>
                <w:webHidden/>
              </w:rPr>
            </w:r>
            <w:r w:rsidRPr="00F03A10">
              <w:rPr>
                <w:noProof/>
                <w:webHidden/>
              </w:rPr>
              <w:fldChar w:fldCharType="separate"/>
            </w:r>
            <w:r w:rsidRPr="00F03A10">
              <w:rPr>
                <w:noProof/>
                <w:webHidden/>
              </w:rPr>
              <w:t>9</w:t>
            </w:r>
            <w:r w:rsidRPr="00F03A10">
              <w:rPr>
                <w:noProof/>
                <w:webHidden/>
              </w:rPr>
              <w:fldChar w:fldCharType="end"/>
            </w:r>
          </w:hyperlink>
        </w:p>
        <w:p w14:paraId="7369A0E0" w14:textId="0079D93D" w:rsidR="00F727CE" w:rsidRPr="00F03A10" w:rsidRDefault="00F727CE">
          <w:pPr>
            <w:pStyle w:val="TOC1"/>
            <w:rPr>
              <w:rFonts w:eastAsiaTheme="minorEastAsia"/>
              <w:b w:val="0"/>
              <w:noProof/>
              <w:kern w:val="2"/>
              <w:sz w:val="22"/>
              <w:lang w:eastAsia="en-GB"/>
              <w14:ligatures w14:val="standardContextual"/>
            </w:rPr>
          </w:pPr>
          <w:hyperlink w:anchor="_Toc158717136" w:history="1">
            <w:r w:rsidRPr="00F03A10">
              <w:rPr>
                <w:rStyle w:val="Hyperlink"/>
                <w:noProof/>
                <w:color w:val="auto"/>
              </w:rPr>
              <w:t>Monitor and Review</w:t>
            </w:r>
            <w:r w:rsidRPr="00F03A10">
              <w:rPr>
                <w:noProof/>
                <w:webHidden/>
              </w:rPr>
              <w:tab/>
            </w:r>
            <w:r w:rsidRPr="00F03A10">
              <w:rPr>
                <w:noProof/>
                <w:webHidden/>
              </w:rPr>
              <w:fldChar w:fldCharType="begin"/>
            </w:r>
            <w:r w:rsidRPr="00F03A10">
              <w:rPr>
                <w:noProof/>
                <w:webHidden/>
              </w:rPr>
              <w:instrText xml:space="preserve"> PAGEREF _Toc158717136 \h </w:instrText>
            </w:r>
            <w:r w:rsidRPr="00F03A10">
              <w:rPr>
                <w:noProof/>
                <w:webHidden/>
              </w:rPr>
            </w:r>
            <w:r w:rsidRPr="00F03A10">
              <w:rPr>
                <w:noProof/>
                <w:webHidden/>
              </w:rPr>
              <w:fldChar w:fldCharType="separate"/>
            </w:r>
            <w:r w:rsidRPr="00F03A10">
              <w:rPr>
                <w:noProof/>
                <w:webHidden/>
              </w:rPr>
              <w:t>9</w:t>
            </w:r>
            <w:r w:rsidRPr="00F03A10">
              <w:rPr>
                <w:noProof/>
                <w:webHidden/>
              </w:rPr>
              <w:fldChar w:fldCharType="end"/>
            </w:r>
          </w:hyperlink>
        </w:p>
        <w:p w14:paraId="364DB746" w14:textId="337386F9" w:rsidR="00F727CE" w:rsidRPr="00F03A10" w:rsidRDefault="00F727CE">
          <w:pPr>
            <w:pStyle w:val="TOC1"/>
            <w:rPr>
              <w:rFonts w:eastAsiaTheme="minorEastAsia"/>
              <w:b w:val="0"/>
              <w:noProof/>
              <w:kern w:val="2"/>
              <w:sz w:val="22"/>
              <w:lang w:eastAsia="en-GB"/>
              <w14:ligatures w14:val="standardContextual"/>
            </w:rPr>
          </w:pPr>
          <w:hyperlink w:anchor="_Toc158717137" w:history="1">
            <w:r w:rsidRPr="00F03A10">
              <w:rPr>
                <w:rStyle w:val="Hyperlink"/>
                <w:noProof/>
                <w:color w:val="auto"/>
              </w:rPr>
              <w:t>Reference Documentation</w:t>
            </w:r>
            <w:r w:rsidRPr="00F03A10">
              <w:rPr>
                <w:noProof/>
                <w:webHidden/>
              </w:rPr>
              <w:tab/>
            </w:r>
            <w:r w:rsidRPr="00F03A10">
              <w:rPr>
                <w:noProof/>
                <w:webHidden/>
              </w:rPr>
              <w:fldChar w:fldCharType="begin"/>
            </w:r>
            <w:r w:rsidRPr="00F03A10">
              <w:rPr>
                <w:noProof/>
                <w:webHidden/>
              </w:rPr>
              <w:instrText xml:space="preserve"> PAGEREF _Toc158717137 \h </w:instrText>
            </w:r>
            <w:r w:rsidRPr="00F03A10">
              <w:rPr>
                <w:noProof/>
                <w:webHidden/>
              </w:rPr>
            </w:r>
            <w:r w:rsidRPr="00F03A10">
              <w:rPr>
                <w:noProof/>
                <w:webHidden/>
              </w:rPr>
              <w:fldChar w:fldCharType="separate"/>
            </w:r>
            <w:r w:rsidRPr="00F03A10">
              <w:rPr>
                <w:noProof/>
                <w:webHidden/>
              </w:rPr>
              <w:t>9</w:t>
            </w:r>
            <w:r w:rsidRPr="00F03A10">
              <w:rPr>
                <w:noProof/>
                <w:webHidden/>
              </w:rPr>
              <w:fldChar w:fldCharType="end"/>
            </w:r>
          </w:hyperlink>
        </w:p>
        <w:p w14:paraId="5E7CC2AF" w14:textId="64961FA1" w:rsidR="00F727CE" w:rsidRPr="00F03A10" w:rsidRDefault="00F727CE">
          <w:pPr>
            <w:pStyle w:val="TOC1"/>
            <w:rPr>
              <w:rFonts w:eastAsiaTheme="minorEastAsia"/>
              <w:b w:val="0"/>
              <w:noProof/>
              <w:kern w:val="2"/>
              <w:sz w:val="22"/>
              <w:lang w:eastAsia="en-GB"/>
              <w14:ligatures w14:val="standardContextual"/>
            </w:rPr>
          </w:pPr>
          <w:hyperlink w:anchor="_Toc158717138" w:history="1">
            <w:r w:rsidRPr="00F03A10">
              <w:rPr>
                <w:rStyle w:val="Hyperlink"/>
                <w:noProof/>
                <w:color w:val="auto"/>
              </w:rPr>
              <w:t>Appendix 1</w:t>
            </w:r>
            <w:r w:rsidRPr="00F03A10">
              <w:rPr>
                <w:noProof/>
                <w:webHidden/>
              </w:rPr>
              <w:tab/>
            </w:r>
            <w:r w:rsidRPr="00F03A10">
              <w:rPr>
                <w:noProof/>
                <w:webHidden/>
              </w:rPr>
              <w:fldChar w:fldCharType="begin"/>
            </w:r>
            <w:r w:rsidRPr="00F03A10">
              <w:rPr>
                <w:noProof/>
                <w:webHidden/>
              </w:rPr>
              <w:instrText xml:space="preserve"> PAGEREF _Toc158717138 \h </w:instrText>
            </w:r>
            <w:r w:rsidRPr="00F03A10">
              <w:rPr>
                <w:noProof/>
                <w:webHidden/>
              </w:rPr>
            </w:r>
            <w:r w:rsidRPr="00F03A10">
              <w:rPr>
                <w:noProof/>
                <w:webHidden/>
              </w:rPr>
              <w:fldChar w:fldCharType="separate"/>
            </w:r>
            <w:r w:rsidRPr="00F03A10">
              <w:rPr>
                <w:noProof/>
                <w:webHidden/>
              </w:rPr>
              <w:t>10</w:t>
            </w:r>
            <w:r w:rsidRPr="00F03A10">
              <w:rPr>
                <w:noProof/>
                <w:webHidden/>
              </w:rPr>
              <w:fldChar w:fldCharType="end"/>
            </w:r>
          </w:hyperlink>
        </w:p>
        <w:p w14:paraId="73458DA3" w14:textId="2D538134" w:rsidR="00F727CE" w:rsidRPr="00F03A10" w:rsidRDefault="00F727CE">
          <w:pPr>
            <w:pStyle w:val="TOC1"/>
            <w:rPr>
              <w:rFonts w:eastAsiaTheme="minorEastAsia"/>
              <w:b w:val="0"/>
              <w:noProof/>
              <w:kern w:val="2"/>
              <w:sz w:val="22"/>
              <w:lang w:eastAsia="en-GB"/>
              <w14:ligatures w14:val="standardContextual"/>
            </w:rPr>
          </w:pPr>
          <w:hyperlink w:anchor="_Toc158717139" w:history="1">
            <w:r w:rsidRPr="00F03A10">
              <w:rPr>
                <w:rStyle w:val="Hyperlink"/>
                <w:noProof/>
                <w:color w:val="auto"/>
              </w:rPr>
              <w:t>Appendix 2</w:t>
            </w:r>
            <w:r w:rsidRPr="00F03A10">
              <w:rPr>
                <w:noProof/>
                <w:webHidden/>
              </w:rPr>
              <w:tab/>
            </w:r>
            <w:r w:rsidRPr="00F03A10">
              <w:rPr>
                <w:noProof/>
                <w:webHidden/>
              </w:rPr>
              <w:fldChar w:fldCharType="begin"/>
            </w:r>
            <w:r w:rsidRPr="00F03A10">
              <w:rPr>
                <w:noProof/>
                <w:webHidden/>
              </w:rPr>
              <w:instrText xml:space="preserve"> PAGEREF _Toc158717139 \h </w:instrText>
            </w:r>
            <w:r w:rsidRPr="00F03A10">
              <w:rPr>
                <w:noProof/>
                <w:webHidden/>
              </w:rPr>
            </w:r>
            <w:r w:rsidRPr="00F03A10">
              <w:rPr>
                <w:noProof/>
                <w:webHidden/>
              </w:rPr>
              <w:fldChar w:fldCharType="separate"/>
            </w:r>
            <w:r w:rsidRPr="00F03A10">
              <w:rPr>
                <w:noProof/>
                <w:webHidden/>
              </w:rPr>
              <w:t>13</w:t>
            </w:r>
            <w:r w:rsidRPr="00F03A10">
              <w:rPr>
                <w:noProof/>
                <w:webHidden/>
              </w:rPr>
              <w:fldChar w:fldCharType="end"/>
            </w:r>
          </w:hyperlink>
        </w:p>
        <w:p w14:paraId="4E578CCB" w14:textId="32D7F907" w:rsidR="00F727CE" w:rsidRPr="00F03A10" w:rsidRDefault="00F727CE">
          <w:pPr>
            <w:pStyle w:val="TOC1"/>
            <w:rPr>
              <w:rFonts w:eastAsiaTheme="minorEastAsia"/>
              <w:b w:val="0"/>
              <w:noProof/>
              <w:kern w:val="2"/>
              <w:sz w:val="22"/>
              <w:lang w:eastAsia="en-GB"/>
              <w14:ligatures w14:val="standardContextual"/>
            </w:rPr>
          </w:pPr>
          <w:hyperlink w:anchor="_Toc158717140" w:history="1">
            <w:r w:rsidRPr="00F03A10">
              <w:rPr>
                <w:rStyle w:val="Hyperlink"/>
                <w:noProof/>
                <w:color w:val="auto"/>
              </w:rPr>
              <w:t>Appendix 3</w:t>
            </w:r>
            <w:r w:rsidRPr="00F03A10">
              <w:rPr>
                <w:noProof/>
                <w:webHidden/>
              </w:rPr>
              <w:tab/>
            </w:r>
            <w:r w:rsidRPr="00F03A10">
              <w:rPr>
                <w:noProof/>
                <w:webHidden/>
              </w:rPr>
              <w:fldChar w:fldCharType="begin"/>
            </w:r>
            <w:r w:rsidRPr="00F03A10">
              <w:rPr>
                <w:noProof/>
                <w:webHidden/>
              </w:rPr>
              <w:instrText xml:space="preserve"> PAGEREF _Toc158717140 \h </w:instrText>
            </w:r>
            <w:r w:rsidRPr="00F03A10">
              <w:rPr>
                <w:noProof/>
                <w:webHidden/>
              </w:rPr>
            </w:r>
            <w:r w:rsidRPr="00F03A10">
              <w:rPr>
                <w:noProof/>
                <w:webHidden/>
              </w:rPr>
              <w:fldChar w:fldCharType="separate"/>
            </w:r>
            <w:r w:rsidRPr="00F03A10">
              <w:rPr>
                <w:noProof/>
                <w:webHidden/>
              </w:rPr>
              <w:t>15</w:t>
            </w:r>
            <w:r w:rsidRPr="00F03A10">
              <w:rPr>
                <w:noProof/>
                <w:webHidden/>
              </w:rPr>
              <w:fldChar w:fldCharType="end"/>
            </w:r>
          </w:hyperlink>
        </w:p>
        <w:p w14:paraId="14130F96" w14:textId="0FC114DA" w:rsidR="00953F38" w:rsidRDefault="00953F38">
          <w:r w:rsidRPr="00F03A10">
            <w:rPr>
              <w:b/>
              <w:bCs/>
              <w:noProof/>
            </w:rPr>
            <w:fldChar w:fldCharType="end"/>
          </w:r>
        </w:p>
      </w:sdtContent>
    </w:sdt>
    <w:p w14:paraId="453DD1D7" w14:textId="77777777" w:rsidR="005638BB" w:rsidRDefault="005638BB" w:rsidP="000C325A">
      <w:pPr>
        <w:pStyle w:val="BodyText"/>
      </w:pPr>
    </w:p>
    <w:p w14:paraId="21B5D942" w14:textId="77777777" w:rsidR="00327E81" w:rsidRDefault="00327E81" w:rsidP="000C325A">
      <w:pPr>
        <w:pStyle w:val="BodyText"/>
      </w:pPr>
    </w:p>
    <w:p w14:paraId="6EEFB655" w14:textId="77777777" w:rsidR="00327E81" w:rsidRDefault="00327E81" w:rsidP="000C325A">
      <w:pPr>
        <w:pStyle w:val="BodyText"/>
      </w:pPr>
    </w:p>
    <w:p w14:paraId="19B309AF" w14:textId="77777777" w:rsidR="005638BB" w:rsidRDefault="005638BB" w:rsidP="000C325A">
      <w:pPr>
        <w:pStyle w:val="BodyText"/>
      </w:pPr>
    </w:p>
    <w:p w14:paraId="559D0018" w14:textId="77777777" w:rsidR="005638BB" w:rsidRDefault="005638BB" w:rsidP="000C325A">
      <w:pPr>
        <w:pStyle w:val="BodyText"/>
      </w:pPr>
    </w:p>
    <w:p w14:paraId="055A8673" w14:textId="77777777" w:rsidR="005638BB" w:rsidRDefault="005638BB" w:rsidP="000C325A">
      <w:pPr>
        <w:pStyle w:val="BodyText"/>
      </w:pPr>
    </w:p>
    <w:p w14:paraId="681E7E89" w14:textId="77777777" w:rsidR="005638BB" w:rsidRDefault="005638BB" w:rsidP="000C325A">
      <w:pPr>
        <w:pStyle w:val="BodyText"/>
      </w:pPr>
    </w:p>
    <w:p w14:paraId="358F1910" w14:textId="77777777" w:rsidR="005638BB" w:rsidRDefault="005638BB" w:rsidP="000C325A">
      <w:pPr>
        <w:pStyle w:val="BodyText"/>
      </w:pPr>
    </w:p>
    <w:p w14:paraId="07A7DE5C" w14:textId="15D7C1C1" w:rsidR="00031B57" w:rsidRDefault="00031B57" w:rsidP="00031B57">
      <w:pPr>
        <w:pStyle w:val="Heading1"/>
      </w:pPr>
      <w:bookmarkStart w:id="27" w:name="_Toc158717128"/>
      <w:bookmarkStart w:id="28" w:name="_Toc158717446"/>
      <w:r>
        <w:t>Purpose</w:t>
      </w:r>
      <w:bookmarkEnd w:id="27"/>
      <w:bookmarkEnd w:id="28"/>
    </w:p>
    <w:p w14:paraId="088E3EE7" w14:textId="77777777" w:rsidR="00031B57" w:rsidRPr="00316088" w:rsidRDefault="00031B57" w:rsidP="00316088">
      <w:pPr>
        <w:pStyle w:val="BodyText"/>
      </w:pPr>
      <w:r w:rsidRPr="00316088">
        <w:t>For Ministry of Justice (MoJ), as the employer, to ensure suitable and sufficient arrangements are in place to ensure employees progress Display Screen Equipment (DSE) Pre-Assessments/Assessments (also known as Workstation Risk Assessments) and receive training to improve awareness of controls to minimise the potential for associated occupational ill health.</w:t>
      </w:r>
    </w:p>
    <w:p w14:paraId="7A74D2F0" w14:textId="77777777" w:rsidR="00031B57" w:rsidRPr="00316088" w:rsidRDefault="00031B57" w:rsidP="00316088">
      <w:pPr>
        <w:pStyle w:val="BodyText"/>
      </w:pPr>
      <w:r w:rsidRPr="00316088">
        <w:t>To outline responsibilities for the management of DSE assessments and describe the process for risk assessing the use of DSE associated workstations, agile / flexible working, workstation equipment provision and health surveillance as deemed necessary.</w:t>
      </w:r>
    </w:p>
    <w:p w14:paraId="42E102A4" w14:textId="6B0EF0C5" w:rsidR="00031B57" w:rsidRDefault="00031B57" w:rsidP="00031B57">
      <w:pPr>
        <w:pStyle w:val="Heading1"/>
      </w:pPr>
      <w:bookmarkStart w:id="29" w:name="_Toc158717129"/>
      <w:bookmarkStart w:id="30" w:name="_Toc158717447"/>
      <w:r>
        <w:t>Scope</w:t>
      </w:r>
      <w:bookmarkEnd w:id="29"/>
      <w:bookmarkEnd w:id="30"/>
    </w:p>
    <w:p w14:paraId="733A1F7C" w14:textId="77777777" w:rsidR="001563CF" w:rsidRPr="001563CF" w:rsidRDefault="001563CF" w:rsidP="00316088">
      <w:pPr>
        <w:pStyle w:val="BodyText"/>
      </w:pPr>
      <w:r w:rsidRPr="001563CF">
        <w:t>This guidance is applicable to all within MOJ; including Arm’s Length Bodies (ALB’s) where the MoJ is the employer for Health and Safety purposes.</w:t>
      </w:r>
    </w:p>
    <w:p w14:paraId="20E2E0AB" w14:textId="77777777" w:rsidR="001563CF" w:rsidRDefault="001563CF" w:rsidP="0031154C">
      <w:pPr>
        <w:pStyle w:val="EmphasisText"/>
      </w:pPr>
      <w:r w:rsidRPr="001563CF">
        <w:rPr>
          <w:u w:val="single"/>
        </w:rPr>
        <w:t>Note</w:t>
      </w:r>
      <w:r w:rsidRPr="001563CF">
        <w:t xml:space="preserve">:  As outlined within MoJ </w:t>
      </w:r>
      <w:r w:rsidRPr="00362297">
        <w:rPr>
          <w:i/>
          <w:iCs/>
        </w:rPr>
        <w:t>OHS 5.2 – Occupational Health and Safety Policy arrangements</w:t>
      </w:r>
      <w:r w:rsidRPr="001563CF">
        <w:t>; the MoJ's various Business Areas, MoJ Headquarter (HQ) Directorates, associated Arm’s Length Bodies (ALBs) and Agencies, are legally responsible for managing their statutory obligations and must establish and document their own OHS arrangements. The framework herein outlines what is expected from each Business Area, and the relationship between the Business Area and the Corporate Centre, but leaves them free to establish their own arrangements, appropriate to their structures and risk profile. Those arrangements will include allocation of responsibilities, accountabilities, governance and local policies, procedures, guidance, etc.</w:t>
      </w:r>
    </w:p>
    <w:p w14:paraId="0E43F6D8" w14:textId="77777777" w:rsidR="001563CF" w:rsidRPr="001563CF" w:rsidRDefault="001563CF" w:rsidP="00316088">
      <w:pPr>
        <w:pStyle w:val="BodyText"/>
      </w:pPr>
      <w:r w:rsidRPr="001563CF">
        <w:t>Applicable to all premises and locations occupied by MoJ employees and all tasks or organisational activities involving DSE whilst at work.</w:t>
      </w:r>
    </w:p>
    <w:p w14:paraId="48590523" w14:textId="34AAC423" w:rsidR="001563CF" w:rsidRDefault="001563CF" w:rsidP="001563CF">
      <w:pPr>
        <w:pStyle w:val="Heading1"/>
      </w:pPr>
      <w:bookmarkStart w:id="31" w:name="_Toc158717130"/>
      <w:bookmarkStart w:id="32" w:name="_Toc158717448"/>
      <w:r>
        <w:lastRenderedPageBreak/>
        <w:t>Definitions</w:t>
      </w:r>
      <w:bookmarkEnd w:id="31"/>
      <w:bookmarkEnd w:id="32"/>
      <w:r>
        <w:t xml:space="preserve"> </w:t>
      </w:r>
    </w:p>
    <w:p w14:paraId="6984A090" w14:textId="77777777" w:rsidR="001563CF" w:rsidRPr="001563CF" w:rsidRDefault="001563CF" w:rsidP="00316088">
      <w:pPr>
        <w:pStyle w:val="BodyText"/>
      </w:pPr>
      <w:r w:rsidRPr="001563CF">
        <w:t>Display Screen Equipment (DSE) is any device or equipment that has a display screen for showing text, numbers, or graphics regardless of the display process involved. A display screen may also be referred to as a monitor, visual display terminal (VDT) or visual display unit (VDU).</w:t>
      </w:r>
    </w:p>
    <w:p w14:paraId="30C3C210" w14:textId="77777777" w:rsidR="001563CF" w:rsidRDefault="001563CF" w:rsidP="00316088">
      <w:pPr>
        <w:pStyle w:val="BodyText"/>
      </w:pPr>
      <w:r w:rsidRPr="001563CF">
        <w:t>The definition is not limited to only office situations such as personal computer (PC) screens; and includes screens such as those attached to surveillance cameras in use by Security.</w:t>
      </w:r>
    </w:p>
    <w:p w14:paraId="75A0782F" w14:textId="77777777" w:rsidR="001563CF" w:rsidRDefault="001563CF" w:rsidP="00316088">
      <w:pPr>
        <w:pStyle w:val="BodyText"/>
      </w:pPr>
      <w:r w:rsidRPr="001563CF">
        <w:t>A ‘</w:t>
      </w:r>
      <w:r w:rsidRPr="001563CF">
        <w:rPr>
          <w:b/>
          <w:bCs/>
        </w:rPr>
        <w:t>User’</w:t>
      </w:r>
      <w:r w:rsidRPr="001563CF">
        <w:t xml:space="preserve"> is defined as a worker who regularly uses DSE as a significant part of their normal work (daily, for continuous periods of an hour or more).  </w:t>
      </w:r>
    </w:p>
    <w:p w14:paraId="63E601E8" w14:textId="77777777" w:rsidR="001563CF" w:rsidRDefault="001563CF" w:rsidP="00316088">
      <w:pPr>
        <w:pStyle w:val="BodyText"/>
        <w:rPr>
          <w:rFonts w:cs="Arial"/>
          <w:sz w:val="22"/>
        </w:rPr>
      </w:pPr>
      <w:r w:rsidRPr="001563CF">
        <w:t>It will generally be appropriate to classify the person concerned as a User if they</w:t>
      </w:r>
      <w:r w:rsidRPr="006A0874">
        <w:rPr>
          <w:rFonts w:cs="Arial"/>
          <w:sz w:val="22"/>
        </w:rPr>
        <w:t>:</w:t>
      </w:r>
    </w:p>
    <w:p w14:paraId="2A8F59AD" w14:textId="3D6AC6A0" w:rsidR="001563CF" w:rsidRDefault="001563CF" w:rsidP="00953F38">
      <w:pPr>
        <w:pStyle w:val="ListBullet"/>
        <w:numPr>
          <w:ilvl w:val="0"/>
          <w:numId w:val="4"/>
        </w:numPr>
      </w:pPr>
      <w:r w:rsidRPr="001563CF">
        <w:t xml:space="preserve">Normally use DSE for continuous or near continuous spells of an hour or more at a </w:t>
      </w:r>
      <w:r w:rsidR="00362297" w:rsidRPr="001563CF">
        <w:t>time.</w:t>
      </w:r>
      <w:r w:rsidRPr="001563CF">
        <w:t xml:space="preserve"> </w:t>
      </w:r>
    </w:p>
    <w:p w14:paraId="632CB4C9" w14:textId="1863532D" w:rsidR="001563CF" w:rsidRPr="001563CF" w:rsidRDefault="001563CF" w:rsidP="00953F38">
      <w:pPr>
        <w:pStyle w:val="ListBullet"/>
        <w:numPr>
          <w:ilvl w:val="0"/>
          <w:numId w:val="4"/>
        </w:numPr>
      </w:pPr>
      <w:r w:rsidRPr="001563CF">
        <w:t>Use DSE in this way more or less daily</w:t>
      </w:r>
      <w:r w:rsidR="00362297">
        <w:t>.</w:t>
      </w:r>
    </w:p>
    <w:p w14:paraId="29DD6764" w14:textId="2C85A391" w:rsidR="001563CF" w:rsidRPr="001563CF" w:rsidRDefault="001563CF" w:rsidP="00953F38">
      <w:pPr>
        <w:pStyle w:val="ListBullet"/>
        <w:numPr>
          <w:ilvl w:val="0"/>
          <w:numId w:val="4"/>
        </w:numPr>
      </w:pPr>
      <w:r w:rsidRPr="001563CF">
        <w:t>Have to transfer information quickly to or from DSE.</w:t>
      </w:r>
    </w:p>
    <w:p w14:paraId="1B517F8B" w14:textId="060E1163" w:rsidR="001563CF" w:rsidRPr="001563CF" w:rsidRDefault="001563CF" w:rsidP="00953F38">
      <w:pPr>
        <w:pStyle w:val="ListBullet"/>
        <w:numPr>
          <w:ilvl w:val="0"/>
          <w:numId w:val="4"/>
        </w:numPr>
      </w:pPr>
      <w:r w:rsidRPr="001563CF">
        <w:t>They require significant or special training and / or specialist skills in the use of DSE to do their job.</w:t>
      </w:r>
    </w:p>
    <w:p w14:paraId="3874B307" w14:textId="683C965F" w:rsidR="001563CF" w:rsidRPr="006A0874" w:rsidRDefault="001563CF" w:rsidP="00953F38">
      <w:pPr>
        <w:pStyle w:val="ListBullet"/>
        <w:numPr>
          <w:ilvl w:val="0"/>
          <w:numId w:val="4"/>
        </w:numPr>
      </w:pPr>
      <w:r w:rsidRPr="006A0874">
        <w:t>Due to the performance requirements of the system, it demands high levels of attention and concentration.</w:t>
      </w:r>
    </w:p>
    <w:p w14:paraId="3740E2E2" w14:textId="5C0F27BB" w:rsidR="00362297" w:rsidRDefault="00362297" w:rsidP="00362297">
      <w:pPr>
        <w:pStyle w:val="Heading1"/>
      </w:pPr>
      <w:bookmarkStart w:id="33" w:name="_Toc158717131"/>
      <w:bookmarkStart w:id="34" w:name="_Toc158717449"/>
      <w:r>
        <w:t>Legislation</w:t>
      </w:r>
      <w:bookmarkEnd w:id="33"/>
      <w:bookmarkEnd w:id="34"/>
      <w:r>
        <w:t xml:space="preserve"> </w:t>
      </w:r>
    </w:p>
    <w:p w14:paraId="61501517" w14:textId="77777777" w:rsidR="00362297" w:rsidRPr="00362297" w:rsidRDefault="00362297" w:rsidP="00953F38">
      <w:pPr>
        <w:pStyle w:val="ListBullet"/>
        <w:numPr>
          <w:ilvl w:val="0"/>
          <w:numId w:val="4"/>
        </w:numPr>
      </w:pPr>
      <w:bookmarkStart w:id="35" w:name="_Hlk45613146"/>
      <w:r w:rsidRPr="00362297">
        <w:t>The Health and Safety at Work etc. Act 1974</w:t>
      </w:r>
    </w:p>
    <w:bookmarkEnd w:id="35"/>
    <w:p w14:paraId="5845F5F6" w14:textId="77777777" w:rsidR="00362297" w:rsidRPr="00362297" w:rsidRDefault="00362297" w:rsidP="00953F38">
      <w:pPr>
        <w:pStyle w:val="ListBullet"/>
        <w:numPr>
          <w:ilvl w:val="0"/>
          <w:numId w:val="4"/>
        </w:numPr>
      </w:pPr>
      <w:r w:rsidRPr="00362297">
        <w:t>The Management of Health and Safety at Work Regulations 1999</w:t>
      </w:r>
    </w:p>
    <w:p w14:paraId="0EF9B9B5" w14:textId="77777777" w:rsidR="00362297" w:rsidRPr="00362297" w:rsidRDefault="00362297" w:rsidP="00953F38">
      <w:pPr>
        <w:pStyle w:val="ListBullet"/>
        <w:numPr>
          <w:ilvl w:val="0"/>
          <w:numId w:val="4"/>
        </w:numPr>
      </w:pPr>
      <w:r w:rsidRPr="00362297">
        <w:t>The Health and Safety (Display Screen Equipment) Regulations 1992</w:t>
      </w:r>
    </w:p>
    <w:p w14:paraId="1D561857" w14:textId="77777777" w:rsidR="00362297" w:rsidRPr="00362297" w:rsidRDefault="00362297" w:rsidP="00953F38">
      <w:pPr>
        <w:pStyle w:val="ListBullet"/>
        <w:numPr>
          <w:ilvl w:val="0"/>
          <w:numId w:val="4"/>
        </w:numPr>
      </w:pPr>
      <w:r w:rsidRPr="00362297">
        <w:t>Reporting of Injuries, Diseases and Dangerous Occurrences Regulations 2013</w:t>
      </w:r>
    </w:p>
    <w:p w14:paraId="115981E8" w14:textId="163E20B4" w:rsidR="00362297" w:rsidRDefault="00362297" w:rsidP="00362297">
      <w:pPr>
        <w:pStyle w:val="Heading1"/>
      </w:pPr>
      <w:bookmarkStart w:id="36" w:name="_Toc158717132"/>
      <w:bookmarkStart w:id="37" w:name="_Toc158717450"/>
      <w:r>
        <w:t>Responsibilities</w:t>
      </w:r>
      <w:bookmarkEnd w:id="36"/>
      <w:bookmarkEnd w:id="37"/>
      <w:r>
        <w:t xml:space="preserve"> </w:t>
      </w:r>
    </w:p>
    <w:p w14:paraId="189DBDF9" w14:textId="5063A93C" w:rsidR="00362297" w:rsidRPr="00953F38" w:rsidRDefault="00362297" w:rsidP="00953F38">
      <w:pPr>
        <w:pStyle w:val="BodyText"/>
        <w:rPr>
          <w:b/>
          <w:bCs/>
        </w:rPr>
      </w:pPr>
      <w:bookmarkStart w:id="38" w:name="_Hlk41472937"/>
      <w:r w:rsidRPr="00953F38">
        <w:rPr>
          <w:b/>
          <w:bCs/>
        </w:rPr>
        <w:t>Directors, Department Heads and Managers</w:t>
      </w:r>
      <w:bookmarkEnd w:id="38"/>
      <w:r w:rsidRPr="00953F38">
        <w:rPr>
          <w:b/>
          <w:bCs/>
        </w:rPr>
        <w:t xml:space="preserve"> </w:t>
      </w:r>
      <w:r w:rsidR="0031154C" w:rsidRPr="00953F38">
        <w:rPr>
          <w:rStyle w:val="BodyTextChar"/>
          <w:b/>
          <w:bCs/>
        </w:rPr>
        <w:t>m</w:t>
      </w:r>
      <w:r w:rsidRPr="00953F38">
        <w:rPr>
          <w:rStyle w:val="BodyTextChar"/>
          <w:b/>
          <w:bCs/>
        </w:rPr>
        <w:t>ust ensure</w:t>
      </w:r>
      <w:r w:rsidRPr="00953F38">
        <w:rPr>
          <w:b/>
          <w:bCs/>
        </w:rPr>
        <w:t>:</w:t>
      </w:r>
    </w:p>
    <w:p w14:paraId="653D8132" w14:textId="77777777" w:rsidR="00362297" w:rsidRDefault="00362297" w:rsidP="00953F38">
      <w:pPr>
        <w:pStyle w:val="ListBullet"/>
        <w:numPr>
          <w:ilvl w:val="0"/>
          <w:numId w:val="4"/>
        </w:numPr>
      </w:pPr>
      <w:r w:rsidRPr="00362297">
        <w:t>Employees are provided with legally compliant, suitable for work use and fully adjustable furniture and display screen equipment.</w:t>
      </w:r>
    </w:p>
    <w:p w14:paraId="5B517897" w14:textId="77777777" w:rsidR="00362297" w:rsidRPr="00362297" w:rsidRDefault="00362297" w:rsidP="0031154C">
      <w:pPr>
        <w:pStyle w:val="EmphasisText"/>
      </w:pPr>
      <w:r w:rsidRPr="00362297">
        <w:rPr>
          <w:u w:val="single"/>
        </w:rPr>
        <w:lastRenderedPageBreak/>
        <w:t>Note</w:t>
      </w:r>
      <w:r w:rsidRPr="00362297">
        <w:t>: This includes ensuring broken or damaged furniture is replaced and the purchase of standard items such as footstools and document holders as required.</w:t>
      </w:r>
    </w:p>
    <w:p w14:paraId="2B37189F" w14:textId="77777777" w:rsidR="00362297" w:rsidRPr="00F1035F" w:rsidRDefault="00362297" w:rsidP="00953F38">
      <w:pPr>
        <w:pStyle w:val="ListBullet"/>
        <w:numPr>
          <w:ilvl w:val="0"/>
          <w:numId w:val="4"/>
        </w:numPr>
      </w:pPr>
      <w:r>
        <w:t xml:space="preserve">Employees complete mandatory DSE training and pre-assessment </w:t>
      </w:r>
      <w:r w:rsidRPr="006A0874">
        <w:t xml:space="preserve">questionnaires </w:t>
      </w:r>
      <w:r>
        <w:t xml:space="preserve">if issues are identified for </w:t>
      </w:r>
      <w:r w:rsidRPr="006A0874">
        <w:t xml:space="preserve">‘Users’ and </w:t>
      </w:r>
      <w:r>
        <w:t xml:space="preserve">their </w:t>
      </w:r>
      <w:r w:rsidRPr="006A0874">
        <w:t xml:space="preserve">associated </w:t>
      </w:r>
      <w:r w:rsidRPr="00F1035F">
        <w:t>workstations utilising the Cardinus ‘Healthy Working</w:t>
      </w:r>
      <w:r>
        <w:t>’</w:t>
      </w:r>
      <w:r w:rsidRPr="00F1035F">
        <w:t xml:space="preserve"> online software package or another suitable method of capturing a User’s DSE requirements.</w:t>
      </w:r>
    </w:p>
    <w:p w14:paraId="4A716314" w14:textId="275339B3" w:rsidR="00362297" w:rsidRDefault="00362297" w:rsidP="0031154C">
      <w:pPr>
        <w:pStyle w:val="EmphasisText"/>
      </w:pPr>
      <w:r w:rsidRPr="00362297">
        <w:rPr>
          <w:u w:val="single"/>
        </w:rPr>
        <w:t>Note</w:t>
      </w:r>
      <w:r w:rsidRPr="00362297">
        <w:t>: Associated workstations also include home workstations of Users under their control.</w:t>
      </w:r>
    </w:p>
    <w:p w14:paraId="7D947FF0" w14:textId="0D5C745A" w:rsidR="00362297" w:rsidRPr="00362297" w:rsidRDefault="00362297" w:rsidP="00953F38">
      <w:pPr>
        <w:pStyle w:val="ListBullet2"/>
        <w:numPr>
          <w:ilvl w:val="0"/>
          <w:numId w:val="5"/>
        </w:numPr>
      </w:pPr>
      <w:r w:rsidRPr="00362297">
        <w:t xml:space="preserve">See MOJ online DSE training and assessment system here </w:t>
      </w:r>
      <w:hyperlink r:id="rId11" w:history="1">
        <w:r w:rsidRPr="00F03A10">
          <w:rPr>
            <w:rStyle w:val="Hyperlink"/>
            <w:rFonts w:asciiTheme="minorHAnsi" w:eastAsiaTheme="minorHAnsi" w:hAnsiTheme="minorHAnsi" w:cstheme="minorBidi"/>
            <w:color w:val="1D609D" w:themeColor="accent1"/>
            <w:sz w:val="24"/>
            <w:szCs w:val="22"/>
          </w:rPr>
          <w:t>https://online.cardinus.com/Course/MJ/ergo/Hub</w:t>
        </w:r>
      </w:hyperlink>
      <w:r w:rsidRPr="00362297">
        <w:t xml:space="preserve"> </w:t>
      </w:r>
    </w:p>
    <w:p w14:paraId="2156B4A4" w14:textId="77777777" w:rsidR="00362297" w:rsidRDefault="00362297" w:rsidP="00362297">
      <w:pPr>
        <w:pStyle w:val="ListBullet"/>
      </w:pPr>
      <w:r w:rsidRPr="00F1035F">
        <w:t xml:space="preserve">DSE Pre-Assessment findings are accepted, implementing any necessary actions </w:t>
      </w:r>
      <w:proofErr w:type="gramStart"/>
      <w:r w:rsidRPr="00F1035F">
        <w:t>in order to</w:t>
      </w:r>
      <w:proofErr w:type="gramEnd"/>
      <w:r w:rsidRPr="00F1035F">
        <w:t xml:space="preserve"> comply with the requirements of the regulations, including further one-to-one DSE Assessments via designated DSE Risk Assessors, </w:t>
      </w:r>
      <w:r w:rsidRPr="00E25452">
        <w:t>equipment provision and health surveillance as deemed necessary.  Progress will be monitored via the Cardinus Administrators.</w:t>
      </w:r>
    </w:p>
    <w:p w14:paraId="49953CB8" w14:textId="77777777" w:rsidR="00362297" w:rsidRPr="00E25452" w:rsidRDefault="00362297" w:rsidP="00362297">
      <w:pPr>
        <w:pStyle w:val="ListBullet"/>
      </w:pPr>
      <w:r w:rsidRPr="00E25452">
        <w:t>DSE assessments are effectively monitored and reviewed at a minimum frequency of every 3 years or when a User’s DSE activities or workstation alters significantly.</w:t>
      </w:r>
    </w:p>
    <w:p w14:paraId="125841F9" w14:textId="77777777" w:rsidR="00362297" w:rsidRPr="00E25452" w:rsidRDefault="00362297" w:rsidP="00362297">
      <w:pPr>
        <w:pStyle w:val="ListBullet"/>
      </w:pPr>
      <w:r w:rsidRPr="00E25452">
        <w:t>Mandatory DSE Awareness training for all identified Users is completed every 3 years or when their activities or workstation alters significantly.</w:t>
      </w:r>
    </w:p>
    <w:p w14:paraId="6D296616" w14:textId="77777777" w:rsidR="00362297" w:rsidRPr="00E25452" w:rsidRDefault="00362297" w:rsidP="00362297">
      <w:pPr>
        <w:pStyle w:val="ListBullet"/>
      </w:pPr>
      <w:r w:rsidRPr="00E25452">
        <w:t>Users under their control are aware of their entitlement to free eyesight tests and prescription spectacles as appropriate to work requirements (see Section 6 - Procedure for further information).</w:t>
      </w:r>
    </w:p>
    <w:p w14:paraId="169844DB" w14:textId="77777777" w:rsidR="00362297" w:rsidRPr="00E25452" w:rsidRDefault="00362297" w:rsidP="00362297">
      <w:pPr>
        <w:pStyle w:val="ListBullet"/>
      </w:pPr>
      <w:r w:rsidRPr="00E25452">
        <w:t>Support any workplace adjustments for employees who have disabilities as defined by the Equality Act 2010.</w:t>
      </w:r>
    </w:p>
    <w:p w14:paraId="03FB3425" w14:textId="77777777" w:rsidR="00362297" w:rsidRPr="00E25452" w:rsidRDefault="00362297" w:rsidP="00362297">
      <w:pPr>
        <w:pStyle w:val="ListBullet"/>
      </w:pPr>
      <w:r w:rsidRPr="00E25452">
        <w:t xml:space="preserve">Incidences of work-related ill-health associated with DSE use are recorded and reported in accordance with the </w:t>
      </w:r>
      <w:r w:rsidRPr="00362297">
        <w:rPr>
          <w:i/>
          <w:iCs/>
        </w:rPr>
        <w:t>MoJ OHS 10.1 Accident / Incident Reporting and Investigation guidance</w:t>
      </w:r>
      <w:r w:rsidRPr="00E25452">
        <w:t>.</w:t>
      </w:r>
    </w:p>
    <w:p w14:paraId="1BF545BA" w14:textId="5AB1D57E" w:rsidR="0031154C" w:rsidRPr="00953F38" w:rsidRDefault="00362297" w:rsidP="00953F38">
      <w:pPr>
        <w:pStyle w:val="BodyText"/>
        <w:rPr>
          <w:b/>
          <w:bCs/>
        </w:rPr>
      </w:pPr>
      <w:r w:rsidRPr="00953F38">
        <w:rPr>
          <w:b/>
          <w:bCs/>
        </w:rPr>
        <w:t xml:space="preserve">All Employees who are DSE Users </w:t>
      </w:r>
      <w:r w:rsidR="0031154C" w:rsidRPr="00953F38">
        <w:rPr>
          <w:rStyle w:val="BodyTextChar"/>
          <w:b/>
          <w:bCs/>
        </w:rPr>
        <w:t>must</w:t>
      </w:r>
    </w:p>
    <w:p w14:paraId="592C432E" w14:textId="77777777" w:rsidR="00362297" w:rsidRPr="00362297" w:rsidRDefault="00362297" w:rsidP="00362297">
      <w:pPr>
        <w:pStyle w:val="ListBullet"/>
      </w:pPr>
      <w:r w:rsidRPr="00362297">
        <w:t>Cooperate with MoJ on health and safety matters including progression of DSE Pre-Assessment questionnaires and training.</w:t>
      </w:r>
    </w:p>
    <w:p w14:paraId="121A2C8F" w14:textId="77777777" w:rsidR="00362297" w:rsidRPr="00362297" w:rsidRDefault="00362297" w:rsidP="00362297">
      <w:pPr>
        <w:pStyle w:val="ListBullet"/>
      </w:pPr>
      <w:r w:rsidRPr="00362297">
        <w:t>If deemed necessary, assist any person(s) appointed in the progression of a further Checklist/Assessment such as a DSE Assessor or Occupational Health Advisor.</w:t>
      </w:r>
    </w:p>
    <w:p w14:paraId="112C17A9" w14:textId="77777777" w:rsidR="00362297" w:rsidRPr="00362297" w:rsidRDefault="00362297" w:rsidP="00362297">
      <w:pPr>
        <w:pStyle w:val="ListBullet"/>
      </w:pPr>
      <w:r w:rsidRPr="00362297">
        <w:t>Ensure implementation of any DSE training, guidance or actions identified to ensure their health, safety and wellbeing when using DSE.</w:t>
      </w:r>
    </w:p>
    <w:p w14:paraId="63945A3A" w14:textId="77777777" w:rsidR="00362297" w:rsidRPr="00362297" w:rsidRDefault="00362297" w:rsidP="00362297">
      <w:pPr>
        <w:pStyle w:val="ListBullet"/>
      </w:pPr>
      <w:r w:rsidRPr="00362297">
        <w:t>Notify their Director, Department Head or Line Manager of any significant changes to their DSE use or health concerns where DSE work could be a contributory or aggravating factor.</w:t>
      </w:r>
    </w:p>
    <w:p w14:paraId="4D5646E0" w14:textId="77777777" w:rsidR="00362297" w:rsidRPr="00362297" w:rsidRDefault="00362297" w:rsidP="00362297">
      <w:pPr>
        <w:pStyle w:val="ListBullet"/>
      </w:pPr>
      <w:r w:rsidRPr="00362297">
        <w:lastRenderedPageBreak/>
        <w:t>Not misuse or damage any item provided for work activities when using DSE.</w:t>
      </w:r>
    </w:p>
    <w:p w14:paraId="6B5D797C" w14:textId="77777777" w:rsidR="00044A2D" w:rsidRPr="00953F38" w:rsidRDefault="00044A2D" w:rsidP="00953F38">
      <w:pPr>
        <w:pStyle w:val="BodyText"/>
        <w:rPr>
          <w:b/>
          <w:bCs/>
        </w:rPr>
      </w:pPr>
      <w:r w:rsidRPr="00953F38">
        <w:rPr>
          <w:b/>
          <w:bCs/>
        </w:rPr>
        <w:t>Display Screen Equipment Assessors:</w:t>
      </w:r>
    </w:p>
    <w:p w14:paraId="3FF6E6CD" w14:textId="77777777" w:rsidR="00044A2D" w:rsidRPr="00044A2D" w:rsidRDefault="00044A2D" w:rsidP="00044A2D">
      <w:pPr>
        <w:pStyle w:val="ListBullet"/>
      </w:pPr>
      <w:r w:rsidRPr="00044A2D">
        <w:t xml:space="preserve">Assist MoJ where one-to-one DSE Risk Assessments are required utilising </w:t>
      </w:r>
      <w:r w:rsidRPr="00044A2D">
        <w:rPr>
          <w:i/>
          <w:iCs/>
        </w:rPr>
        <w:t xml:space="preserve">OHS 8.3.F1 – DSE Workstation Checklist/Assessment Form </w:t>
      </w:r>
      <w:r w:rsidRPr="00044A2D">
        <w:t xml:space="preserve">or an approved assessment form, and advise the User on suggested actions (i.e., how to improve posture, interact with their DSE, to take regular breaks, stay hydrated etc.) </w:t>
      </w:r>
    </w:p>
    <w:p w14:paraId="1372B545" w14:textId="0078ECEC" w:rsidR="00044A2D" w:rsidRDefault="00044A2D" w:rsidP="00316088">
      <w:pPr>
        <w:pStyle w:val="ListBullet"/>
      </w:pPr>
      <w:r w:rsidRPr="00044A2D">
        <w:t>The DSE Assessor should provide guidance on measures to offer improvements in regulatory compliance, health, and comfort. They should refrain from offering medical diagnoses or advice outside of their scope or competency level.</w:t>
      </w:r>
    </w:p>
    <w:p w14:paraId="029A19C5" w14:textId="6C5B1B94" w:rsidR="00044A2D" w:rsidRPr="00953F38" w:rsidRDefault="00044A2D" w:rsidP="00953F38">
      <w:pPr>
        <w:pStyle w:val="BodyText"/>
        <w:rPr>
          <w:rStyle w:val="BodyTextChar"/>
          <w:b/>
          <w:bCs/>
        </w:rPr>
      </w:pPr>
      <w:r w:rsidRPr="00953F38">
        <w:rPr>
          <w:b/>
          <w:bCs/>
        </w:rPr>
        <w:t xml:space="preserve">Corporate Fire, Health and Safety Team </w:t>
      </w:r>
      <w:r w:rsidR="0031154C" w:rsidRPr="00953F38">
        <w:rPr>
          <w:rStyle w:val="BodyTextChar"/>
          <w:b/>
          <w:bCs/>
        </w:rPr>
        <w:t>m</w:t>
      </w:r>
      <w:r w:rsidRPr="00953F38">
        <w:rPr>
          <w:rStyle w:val="BodyTextChar"/>
          <w:b/>
          <w:bCs/>
        </w:rPr>
        <w:t>ust:</w:t>
      </w:r>
    </w:p>
    <w:p w14:paraId="45B59E04" w14:textId="77777777" w:rsidR="00044A2D" w:rsidRPr="00044A2D" w:rsidRDefault="00044A2D" w:rsidP="00044A2D">
      <w:pPr>
        <w:pStyle w:val="ListBullet"/>
      </w:pPr>
      <w:r w:rsidRPr="00044A2D">
        <w:t>Provide advice and guidance to Directors, Department Heads and Managers</w:t>
      </w:r>
      <w:r w:rsidRPr="00044A2D" w:rsidDel="00A07B0F">
        <w:t xml:space="preserve"> </w:t>
      </w:r>
      <w:r w:rsidRPr="00044A2D">
        <w:t>in respect of their obligations under the regulations.</w:t>
      </w:r>
    </w:p>
    <w:p w14:paraId="637BE488" w14:textId="77777777" w:rsidR="00044A2D" w:rsidRPr="00044A2D" w:rsidRDefault="00044A2D" w:rsidP="00044A2D">
      <w:pPr>
        <w:pStyle w:val="ListBullet"/>
      </w:pPr>
      <w:r w:rsidRPr="00044A2D">
        <w:t>Provide advice and guidance to employees at all levels in respect of the correct use of DSE and their obligations and entitlements under statute and this guidance.</w:t>
      </w:r>
    </w:p>
    <w:p w14:paraId="22FB1085" w14:textId="77777777" w:rsidR="00044A2D" w:rsidRPr="00044A2D" w:rsidRDefault="00044A2D" w:rsidP="00044A2D">
      <w:pPr>
        <w:pStyle w:val="ListBullet"/>
      </w:pPr>
      <w:r w:rsidRPr="00044A2D">
        <w:t xml:space="preserve">Inform the employer, </w:t>
      </w:r>
      <w:bookmarkStart w:id="39" w:name="_Hlk45624438"/>
      <w:r w:rsidRPr="00044A2D">
        <w:t>Directors, Department Heads and Managers</w:t>
      </w:r>
      <w:bookmarkEnd w:id="39"/>
      <w:r w:rsidRPr="00044A2D">
        <w:t>, employees and their Trade Union Safety Representatives of any changes and developments in the area of DSE compliance, associated legislation, and best practice.</w:t>
      </w:r>
    </w:p>
    <w:p w14:paraId="14B5935D" w14:textId="77777777" w:rsidR="00044A2D" w:rsidRPr="00044A2D" w:rsidRDefault="00044A2D" w:rsidP="00044A2D">
      <w:pPr>
        <w:pStyle w:val="ListBullet"/>
        <w:rPr>
          <w:rFonts w:cs="Arial"/>
          <w:sz w:val="22"/>
        </w:rPr>
      </w:pPr>
      <w:r w:rsidRPr="00044A2D">
        <w:t>Assist the employer, Directors, Department Heads and Managers</w:t>
      </w:r>
      <w:r w:rsidRPr="00044A2D" w:rsidDel="00A07B0F">
        <w:t xml:space="preserve"> </w:t>
      </w:r>
      <w:r w:rsidRPr="00044A2D">
        <w:t>in monitoring, reviewing, and evaluating the efficiency and effectiveness of this guidance and other measures to reduce any potential for non-compliance, (as detailed within Section 8 – Measuring Performance).</w:t>
      </w:r>
    </w:p>
    <w:p w14:paraId="5FF4B4BC" w14:textId="77777777" w:rsidR="00044A2D" w:rsidRPr="00953F38" w:rsidRDefault="00044A2D" w:rsidP="00953F38">
      <w:pPr>
        <w:pStyle w:val="BodyText"/>
        <w:rPr>
          <w:b/>
          <w:bCs/>
        </w:rPr>
      </w:pPr>
      <w:r w:rsidRPr="00953F38">
        <w:rPr>
          <w:b/>
          <w:bCs/>
        </w:rPr>
        <w:t>Cardinus Administrators (MoJ):</w:t>
      </w:r>
    </w:p>
    <w:p w14:paraId="1504918D" w14:textId="77777777" w:rsidR="00044A2D" w:rsidRDefault="00044A2D" w:rsidP="00044A2D">
      <w:pPr>
        <w:pStyle w:val="ListBullet"/>
      </w:pPr>
      <w:r w:rsidRPr="00044A2D">
        <w:t>Oversee the Cardinus DSE Processes for their Department (MoJ HQ/Agency/ALB) in terms of training completion, assessments, action tracking and provision of User Access Reports for the execution of recommended actions and for managers to track progress and completions.</w:t>
      </w:r>
    </w:p>
    <w:p w14:paraId="33EA9DFE" w14:textId="07806461" w:rsidR="00044A2D" w:rsidRPr="00953F38" w:rsidRDefault="00044A2D" w:rsidP="00953F38">
      <w:pPr>
        <w:pStyle w:val="BodyText"/>
        <w:rPr>
          <w:b/>
          <w:bCs/>
        </w:rPr>
      </w:pPr>
      <w:r w:rsidRPr="00953F38">
        <w:rPr>
          <w:b/>
          <w:bCs/>
        </w:rPr>
        <w:t xml:space="preserve">Human Resources (HR) </w:t>
      </w:r>
      <w:r w:rsidR="0031154C" w:rsidRPr="00953F38">
        <w:rPr>
          <w:b/>
          <w:bCs/>
        </w:rPr>
        <w:t>w</w:t>
      </w:r>
      <w:r w:rsidRPr="00953F38">
        <w:rPr>
          <w:b/>
          <w:bCs/>
        </w:rPr>
        <w:t>ill:</w:t>
      </w:r>
    </w:p>
    <w:p w14:paraId="288B4A43" w14:textId="77777777" w:rsidR="00044A2D" w:rsidRPr="00044A2D" w:rsidRDefault="00044A2D" w:rsidP="00044A2D">
      <w:pPr>
        <w:pStyle w:val="ListBullet"/>
      </w:pPr>
      <w:r w:rsidRPr="00044A2D">
        <w:t>Support the Corporate Fire, Health and Safety Team or relevant Director, Department Head or Manager with any employee-specific circumstance or requirement for workplace adjustments within their area/s of responsibility.</w:t>
      </w:r>
    </w:p>
    <w:p w14:paraId="407F0A22" w14:textId="4DB0E760" w:rsidR="00044A2D" w:rsidRDefault="00044A2D" w:rsidP="00044A2D">
      <w:pPr>
        <w:pStyle w:val="Heading1"/>
      </w:pPr>
      <w:bookmarkStart w:id="40" w:name="_Toc158717133"/>
      <w:bookmarkStart w:id="41" w:name="_Toc158717451"/>
      <w:r>
        <w:t>Procedure</w:t>
      </w:r>
      <w:bookmarkEnd w:id="40"/>
      <w:bookmarkEnd w:id="41"/>
    </w:p>
    <w:p w14:paraId="547F031B" w14:textId="77777777" w:rsidR="00044A2D" w:rsidRPr="00044A2D" w:rsidRDefault="00044A2D" w:rsidP="0031154C">
      <w:pPr>
        <w:pStyle w:val="BodyText"/>
      </w:pPr>
      <w:bookmarkStart w:id="42" w:name="_Hlk520466286"/>
      <w:r w:rsidRPr="00044A2D">
        <w:t xml:space="preserve">Cardinus “Healthy Working” </w:t>
      </w:r>
      <w:bookmarkEnd w:id="42"/>
      <w:r w:rsidRPr="00044A2D">
        <w:t>is an electronic display screen equipment risk assessment package.</w:t>
      </w:r>
    </w:p>
    <w:p w14:paraId="27A708CA" w14:textId="77777777" w:rsidR="00044A2D" w:rsidRPr="00044A2D" w:rsidRDefault="00044A2D" w:rsidP="0031154C">
      <w:pPr>
        <w:pStyle w:val="BodyText"/>
      </w:pPr>
      <w:r w:rsidRPr="00044A2D">
        <w:t xml:space="preserve">Individual employees receive access to the package by e-mail link sent to them by the provider, Cardinus; which contains 2 modules: </w:t>
      </w:r>
    </w:p>
    <w:p w14:paraId="5946E85A" w14:textId="77777777" w:rsidR="00044A2D" w:rsidRPr="00044A2D" w:rsidRDefault="00044A2D" w:rsidP="00044A2D">
      <w:pPr>
        <w:pStyle w:val="ListBullet"/>
      </w:pPr>
      <w:r w:rsidRPr="00044A2D">
        <w:lastRenderedPageBreak/>
        <w:t>Enabling employees to progress DSE training and to carry out pre-Assessment questionnaire of their workstation(s).</w:t>
      </w:r>
    </w:p>
    <w:p w14:paraId="104CB6BD" w14:textId="77777777" w:rsidR="00044A2D" w:rsidRPr="00044A2D" w:rsidRDefault="00044A2D" w:rsidP="00044A2D">
      <w:pPr>
        <w:pStyle w:val="ListBullet"/>
      </w:pPr>
      <w:r w:rsidRPr="00044A2D">
        <w:t>Upon completion of the Pre-Assessment questionnaire every employee shall receive a ‘User Action Report’ that gives advice on how to reduce the identified risks. These actions should be implemented by the employee with further support and guidance sought from their Line Manager when necessary (see Appendix 3).</w:t>
      </w:r>
    </w:p>
    <w:p w14:paraId="2AF388A9" w14:textId="78ED3809" w:rsidR="00044A2D" w:rsidRDefault="00044A2D" w:rsidP="0031154C">
      <w:pPr>
        <w:pStyle w:val="BodyText"/>
      </w:pPr>
      <w:r w:rsidRPr="006A0874">
        <w:t xml:space="preserve">DSE / Workstation Assessments from a competent DSE Assessor and further training are progressed for all identified Users, utilising the Cardinus </w:t>
      </w:r>
      <w:r>
        <w:t>Healthy Working</w:t>
      </w:r>
      <w:r w:rsidRPr="006A0874">
        <w:t xml:space="preserve"> online software package (or alternate system of assessment).</w:t>
      </w:r>
    </w:p>
    <w:p w14:paraId="25C30091" w14:textId="77777777" w:rsidR="00044A2D" w:rsidRPr="00044A2D" w:rsidRDefault="00044A2D" w:rsidP="00044A2D">
      <w:pPr>
        <w:pStyle w:val="ListBullet"/>
      </w:pPr>
      <w:r w:rsidRPr="00044A2D">
        <w:t>Fixed base or agile/flexible workers should complete the above upon commencement of their employment with MoJ and conduct a review of this assessment at an interval not exceeding 3 years, or when circumstances require a review or re-assessment.</w:t>
      </w:r>
    </w:p>
    <w:p w14:paraId="44F976B2" w14:textId="77777777" w:rsidR="00044A2D" w:rsidRPr="00044A2D" w:rsidRDefault="00044A2D" w:rsidP="00044A2D">
      <w:pPr>
        <w:pStyle w:val="ListBullet"/>
      </w:pPr>
      <w:r w:rsidRPr="00044A2D">
        <w:t>Due to the transient nature of agile/flexible workers, they must ensure their workstations, chairs etc. are adjusted prior to commencing work on a daily basis to ensure the correct set up and posture (in line with guidance and training provided).</w:t>
      </w:r>
    </w:p>
    <w:p w14:paraId="3DFB3D33" w14:textId="4A6DB2B2" w:rsidR="00044A2D" w:rsidRDefault="00044A2D" w:rsidP="0031154C">
      <w:pPr>
        <w:pStyle w:val="ListBullet"/>
      </w:pPr>
      <w:r w:rsidRPr="00044A2D">
        <w:t>As most Users in MoJ will receive laptops and work flexibly at primary (base office) and other locations (other offices, home working) assessments must consider the associated risks from using a laptop in all locations.</w:t>
      </w:r>
    </w:p>
    <w:p w14:paraId="4BE06892" w14:textId="22A9D40F" w:rsidR="00044A2D" w:rsidRDefault="00044A2D" w:rsidP="0031154C">
      <w:pPr>
        <w:pStyle w:val="BodyText"/>
      </w:pPr>
      <w:r w:rsidRPr="00044A2D">
        <w:t>Once completed, DSE Assessment findings are monitored via the Cardinus Administrators, supporting Departments and Managers accordingly</w:t>
      </w:r>
      <w:r>
        <w:t xml:space="preserve">. </w:t>
      </w:r>
    </w:p>
    <w:p w14:paraId="5FBF8EAA" w14:textId="77777777" w:rsidR="00044A2D" w:rsidRPr="00044A2D" w:rsidRDefault="00044A2D" w:rsidP="0031154C">
      <w:pPr>
        <w:pStyle w:val="BodyText"/>
      </w:pPr>
      <w:r w:rsidRPr="00044A2D">
        <w:t>Managers should contact the Corporate Fire, Health, and Safety Team if further advice, guidance, or support is required.</w:t>
      </w:r>
    </w:p>
    <w:p w14:paraId="2D77A6FC" w14:textId="77777777" w:rsidR="00044A2D" w:rsidRPr="00044A2D" w:rsidRDefault="00044A2D" w:rsidP="0031154C">
      <w:pPr>
        <w:pStyle w:val="BodyText"/>
      </w:pPr>
      <w:r w:rsidRPr="00044A2D">
        <w:t>Any action taken as a result of an individual’s DSE Assessment will be documented and tracked to completion by the Cardinus Administrators, supporting Departments and Managers.</w:t>
      </w:r>
    </w:p>
    <w:p w14:paraId="624DEC6F" w14:textId="77777777" w:rsidR="00044A2D" w:rsidRDefault="00044A2D" w:rsidP="0031154C">
      <w:pPr>
        <w:pStyle w:val="BodyText"/>
      </w:pPr>
      <w:r w:rsidRPr="00044A2D">
        <w:t xml:space="preserve">Where possible, work involving DSE should be arranged so that the User is able to carry out some or part of their job without the need for screen-based activities to vary visual/mental demands and reduce the potential for fatigue.  Where work cannot be arranged in such a way to avoid screen-based activities, regular, short, deliberate, and mandatory breaks that allow Users to vary their posture and have different visual / mental demands must be introduced. </w:t>
      </w:r>
    </w:p>
    <w:p w14:paraId="0EBE5BFE" w14:textId="37DBDD17" w:rsidR="00044A2D" w:rsidRDefault="00044A2D" w:rsidP="0031154C">
      <w:pPr>
        <w:pStyle w:val="EmphasisText"/>
      </w:pPr>
      <w:r w:rsidRPr="00044A2D">
        <w:rPr>
          <w:u w:val="single"/>
        </w:rPr>
        <w:t>Note</w:t>
      </w:r>
      <w:r w:rsidRPr="00044A2D">
        <w:t xml:space="preserve">: Ideally Users should have some discretion when to take breaks however, managers should ensure that they understand the need and </w:t>
      </w:r>
      <w:proofErr w:type="gramStart"/>
      <w:r w:rsidRPr="00044A2D">
        <w:t>have the ability to</w:t>
      </w:r>
      <w:proofErr w:type="gramEnd"/>
      <w:r w:rsidRPr="00044A2D">
        <w:t xml:space="preserve"> do so. Good practice in the use of laptops is detailed within Appendix 2.</w:t>
      </w:r>
    </w:p>
    <w:p w14:paraId="6C2D5EF2" w14:textId="77777777" w:rsidR="00044A2D" w:rsidRPr="00044A2D" w:rsidRDefault="00044A2D" w:rsidP="00316088">
      <w:pPr>
        <w:pStyle w:val="BodyText"/>
      </w:pPr>
      <w:r w:rsidRPr="00044A2D">
        <w:t>Users can ask for eyesight tests at least every two years. MoJ will reimburse reasonable costs where the need has been highlighted as part of their DSE Assessment or based on the clinical opticians’ judgement.</w:t>
      </w:r>
    </w:p>
    <w:p w14:paraId="23A0616D" w14:textId="77777777" w:rsidR="00044A2D" w:rsidRPr="00044A2D" w:rsidRDefault="00044A2D" w:rsidP="00316088">
      <w:pPr>
        <w:pStyle w:val="BodyText"/>
      </w:pPr>
      <w:r w:rsidRPr="00044A2D">
        <w:lastRenderedPageBreak/>
        <w:t xml:space="preserve">In the event of a User requiring specific prescription spectacles for DSE work, MoJ will contribute to the cost of a basic pair of frames and/or lenses and has a voucher system in place for this purpose.  </w:t>
      </w:r>
    </w:p>
    <w:p w14:paraId="5AC661A5" w14:textId="77777777" w:rsidR="00044A2D" w:rsidRPr="00044A2D" w:rsidRDefault="00044A2D" w:rsidP="00044A2D">
      <w:pPr>
        <w:pStyle w:val="ListBullet"/>
      </w:pPr>
      <w:r w:rsidRPr="00044A2D">
        <w:t>Details are on the HR page of the MoJ Intranet and all queries should be directed via their contacts; See MoJ HR Eyecare Guidance.</w:t>
      </w:r>
    </w:p>
    <w:p w14:paraId="079CE8FC" w14:textId="77777777" w:rsidR="00044A2D" w:rsidRPr="00044A2D" w:rsidRDefault="00044A2D" w:rsidP="00316088">
      <w:pPr>
        <w:pStyle w:val="BodyText"/>
      </w:pPr>
      <w:r w:rsidRPr="00044A2D">
        <w:t>Re-assessments of DSE work and workstations will be conducted in the event of any significant change in working practices, following any reports of associated occupational ill health or every three years as a minimum.</w:t>
      </w:r>
    </w:p>
    <w:p w14:paraId="29A2D08F" w14:textId="77777777" w:rsidR="00044A2D" w:rsidRPr="00044A2D" w:rsidRDefault="00044A2D" w:rsidP="00316088">
      <w:pPr>
        <w:pStyle w:val="BodyText"/>
      </w:pPr>
      <w:r w:rsidRPr="00044A2D">
        <w:t>When a new or expectant mother risk assessment takes place, it should be conducted in tandem with a revision to the User’s DSE Risk Assessment where applicable.</w:t>
      </w:r>
    </w:p>
    <w:p w14:paraId="6627BC96" w14:textId="77777777" w:rsidR="00044A2D" w:rsidRPr="00044A2D" w:rsidRDefault="00044A2D" w:rsidP="00316088">
      <w:pPr>
        <w:pStyle w:val="BodyText"/>
      </w:pPr>
      <w:r w:rsidRPr="00044A2D">
        <w:t>If an employee is advised by a General Practitioner or Occupational Health Advisor to seek a DSE Assessment for medical reasons, Managers should contact their local DSE Assessor to arrange this assessment. Further Occupational Health (OH) intervention may be required to determine adjustments or additional software to take account of medical or health conditions such as dyslexia, dyspraxia, photophobia etc.</w:t>
      </w:r>
    </w:p>
    <w:p w14:paraId="1D7AC101" w14:textId="77777777" w:rsidR="00044A2D" w:rsidRPr="00044A2D" w:rsidRDefault="00044A2D" w:rsidP="00044A2D">
      <w:pPr>
        <w:pStyle w:val="ListBullet"/>
      </w:pPr>
      <w:r w:rsidRPr="00044A2D">
        <w:t xml:space="preserve">The </w:t>
      </w:r>
      <w:bookmarkStart w:id="43" w:name="_Hlt172003493"/>
      <w:r w:rsidRPr="00044A2D">
        <w:t>manager must complete a Referral Form and the individual being referred must complete an OHS Consent form in liaison with Human Resources.</w:t>
      </w:r>
      <w:bookmarkEnd w:id="43"/>
      <w:r w:rsidRPr="00044A2D">
        <w:t xml:space="preserve"> </w:t>
      </w:r>
    </w:p>
    <w:p w14:paraId="6B39DA88" w14:textId="748CA373" w:rsidR="00044A2D" w:rsidRDefault="00044A2D" w:rsidP="00044A2D">
      <w:pPr>
        <w:pStyle w:val="BodyTextIndent"/>
        <w:ind w:left="0"/>
      </w:pPr>
      <w:r w:rsidRPr="00044A2D">
        <w:t>In relation to desk sharing or hot-desking within flexible workspaces; there is no need to carry out a new DSE Pre-Assessment and/or DSE Assessment every time a different workstation is used. Once the initial DSE Pre-Assessment and/or DSE Assessment and training is carried out to enable an employee to work safely, employees need only spend a few moments adjusting the new workstation to suit their individual needs prior to commencing work. If problems occur at this or any stage, they should contact their local DSE Assessor or Manager</w:t>
      </w:r>
      <w:r>
        <w:t>.</w:t>
      </w:r>
    </w:p>
    <w:p w14:paraId="14244383" w14:textId="01DCF587" w:rsidR="00044A2D" w:rsidRDefault="00044A2D" w:rsidP="00044A2D">
      <w:pPr>
        <w:pStyle w:val="Heading1"/>
      </w:pPr>
      <w:bookmarkStart w:id="44" w:name="_Toc158717134"/>
      <w:bookmarkStart w:id="45" w:name="_Toc158717452"/>
      <w:r>
        <w:t>Training</w:t>
      </w:r>
      <w:bookmarkEnd w:id="44"/>
      <w:bookmarkEnd w:id="45"/>
      <w:r>
        <w:t xml:space="preserve"> </w:t>
      </w:r>
    </w:p>
    <w:p w14:paraId="30B389CC" w14:textId="77777777" w:rsidR="00044A2D" w:rsidRPr="00044A2D" w:rsidRDefault="00044A2D" w:rsidP="0031154C">
      <w:pPr>
        <w:pStyle w:val="BodyText"/>
      </w:pPr>
      <w:r w:rsidRPr="00044A2D">
        <w:t>General awareness training on Display Screen Equipment will be provided initially at the commencement of working with MoJ and subsequently as refresher training.</w:t>
      </w:r>
    </w:p>
    <w:p w14:paraId="72BA1932" w14:textId="77777777" w:rsidR="00044A2D" w:rsidRPr="00044A2D" w:rsidRDefault="00044A2D" w:rsidP="0031154C">
      <w:pPr>
        <w:pStyle w:val="BodyText"/>
      </w:pPr>
      <w:r w:rsidRPr="00044A2D">
        <w:t>Specific mandatory User training will be provided to all affected employees. This is to be completed during working hours and refreshed every 3 years.</w:t>
      </w:r>
    </w:p>
    <w:p w14:paraId="686574F1" w14:textId="77777777" w:rsidR="00044A2D" w:rsidRPr="00044A2D" w:rsidRDefault="00044A2D" w:rsidP="00044A2D">
      <w:pPr>
        <w:pStyle w:val="ListBullet"/>
      </w:pPr>
      <w:r w:rsidRPr="00044A2D">
        <w:t xml:space="preserve">You can access the MOJ online DSE training and assessment system here </w:t>
      </w:r>
      <w:hyperlink r:id="rId12" w:history="1">
        <w:r w:rsidRPr="00044A2D">
          <w:rPr>
            <w:b/>
          </w:rPr>
          <w:t>https://online.cardinus.com/Course/MJ/ergo/Hub</w:t>
        </w:r>
      </w:hyperlink>
      <w:r w:rsidRPr="00044A2D">
        <w:t xml:space="preserve"> </w:t>
      </w:r>
    </w:p>
    <w:p w14:paraId="30DA97F1" w14:textId="77777777" w:rsidR="00044A2D" w:rsidRPr="00044A2D" w:rsidRDefault="00044A2D" w:rsidP="0031154C">
      <w:pPr>
        <w:pStyle w:val="BodyText"/>
      </w:pPr>
      <w:r w:rsidRPr="00044A2D">
        <w:t xml:space="preserve">Specific training for DSE Assessors will be provided as required and delivered during normal work hours, accessed via the Cardinus System. </w:t>
      </w:r>
    </w:p>
    <w:p w14:paraId="4D03C401" w14:textId="6325D90B" w:rsidR="00044A2D" w:rsidRPr="00044A2D" w:rsidRDefault="00044A2D" w:rsidP="0031154C">
      <w:pPr>
        <w:pStyle w:val="BodyText"/>
      </w:pPr>
      <w:r w:rsidRPr="00044A2D">
        <w:lastRenderedPageBreak/>
        <w:t>All DSE training and assessments are organised via progression within the Cardinus System; with support from the Cardinus Administrators as required.</w:t>
      </w:r>
    </w:p>
    <w:p w14:paraId="22ECD3FD" w14:textId="2732E501" w:rsidR="00044A2D" w:rsidRDefault="00044A2D" w:rsidP="00044A2D">
      <w:pPr>
        <w:pStyle w:val="Heading1"/>
      </w:pPr>
      <w:bookmarkStart w:id="46" w:name="_Toc158717135"/>
      <w:bookmarkStart w:id="47" w:name="_Toc158717453"/>
      <w:r>
        <w:t>Measuring Performance</w:t>
      </w:r>
      <w:bookmarkEnd w:id="46"/>
      <w:bookmarkEnd w:id="47"/>
      <w:r>
        <w:t xml:space="preserve"> </w:t>
      </w:r>
    </w:p>
    <w:p w14:paraId="28E77C9F" w14:textId="77777777" w:rsidR="00044A2D" w:rsidRPr="00044A2D" w:rsidRDefault="00044A2D" w:rsidP="0031154C">
      <w:pPr>
        <w:pStyle w:val="BodyText"/>
      </w:pPr>
      <w:r w:rsidRPr="00044A2D">
        <w:t>Performance in the area of compliance with this procedure will be measured proactively by regular checks of ‘Users’ in order to determine that they are being correctly assessed and that they are following good DSE working practices.</w:t>
      </w:r>
    </w:p>
    <w:p w14:paraId="616BAA47" w14:textId="53A4AB83" w:rsidR="00044A2D" w:rsidRPr="00044A2D" w:rsidRDefault="00044A2D" w:rsidP="0031154C">
      <w:pPr>
        <w:pStyle w:val="BodyText"/>
      </w:pPr>
      <w:r w:rsidRPr="00044A2D">
        <w:t>Reactive measurement will take the form of checks on the adequacy of assessments and the Workstation/s to which they refer, in the event of a ‘User’ identifying a problem which could be related to their Workstation and its use by Directors, Department Heads, Managers or the CFHS Team as appropriate.</w:t>
      </w:r>
    </w:p>
    <w:p w14:paraId="1C15A4F8" w14:textId="602D61CB" w:rsidR="00044A2D" w:rsidRDefault="00044A2D" w:rsidP="00044A2D">
      <w:pPr>
        <w:pStyle w:val="Heading1"/>
      </w:pPr>
      <w:bookmarkStart w:id="48" w:name="_Toc158717136"/>
      <w:bookmarkStart w:id="49" w:name="_Toc158717454"/>
      <w:r>
        <w:t>Monitor and Review</w:t>
      </w:r>
      <w:bookmarkEnd w:id="48"/>
      <w:bookmarkEnd w:id="49"/>
      <w:r>
        <w:t xml:space="preserve"> </w:t>
      </w:r>
    </w:p>
    <w:p w14:paraId="3FFF12BA" w14:textId="77777777" w:rsidR="00044A2D" w:rsidRPr="00044A2D" w:rsidRDefault="00044A2D" w:rsidP="0031154C">
      <w:pPr>
        <w:pStyle w:val="BodyText"/>
      </w:pPr>
      <w:r w:rsidRPr="00044A2D">
        <w:t>Directors, Department Heads, Managers will monitor employee compliance with good DSE practices and will organise a review of assessments at intervals not exceeding 3 years or when circumstances require a re-assessment.</w:t>
      </w:r>
    </w:p>
    <w:p w14:paraId="377E4BCD" w14:textId="77777777" w:rsidR="00044A2D" w:rsidRPr="00044A2D" w:rsidRDefault="00044A2D" w:rsidP="0031154C">
      <w:pPr>
        <w:pStyle w:val="BodyText"/>
      </w:pPr>
      <w:r w:rsidRPr="00044A2D">
        <w:t>Documentation and assessments will be audited by the CFHS Team during programmed audits.</w:t>
      </w:r>
    </w:p>
    <w:p w14:paraId="032ED656" w14:textId="77777777" w:rsidR="00044A2D" w:rsidRPr="00044A2D" w:rsidRDefault="00044A2D" w:rsidP="0031154C">
      <w:pPr>
        <w:pStyle w:val="BodyText"/>
      </w:pPr>
      <w:r w:rsidRPr="00044A2D">
        <w:t>The “Review History” table contained within Reference Documentation will be updated following every review of this procedure detailing the reasons for the changes and all the sections affected.</w:t>
      </w:r>
    </w:p>
    <w:p w14:paraId="240CD4D8" w14:textId="5376DE03" w:rsidR="00044A2D" w:rsidRDefault="00044A2D" w:rsidP="00044A2D">
      <w:pPr>
        <w:pStyle w:val="Heading1"/>
      </w:pPr>
      <w:bookmarkStart w:id="50" w:name="_Toc158717137"/>
      <w:bookmarkStart w:id="51" w:name="_Toc158717455"/>
      <w:r>
        <w:t>Reference Documentation</w:t>
      </w:r>
      <w:bookmarkEnd w:id="50"/>
      <w:bookmarkEnd w:id="51"/>
    </w:p>
    <w:p w14:paraId="75768313" w14:textId="77777777" w:rsidR="00044A2D" w:rsidRPr="006A0874" w:rsidRDefault="00044A2D" w:rsidP="0031154C">
      <w:pPr>
        <w:pStyle w:val="BodyText"/>
        <w:rPr>
          <w:rFonts w:cs="Arial"/>
          <w:sz w:val="22"/>
        </w:rPr>
      </w:pPr>
      <w:r w:rsidRPr="00044A2D">
        <w:t>External Reference documents</w:t>
      </w:r>
      <w:r w:rsidRPr="006A0874">
        <w:rPr>
          <w:rFonts w:cs="Arial"/>
          <w:sz w:val="22"/>
        </w:rPr>
        <w:t>:</w:t>
      </w:r>
    </w:p>
    <w:p w14:paraId="5E8F70DA" w14:textId="77777777" w:rsidR="00044A2D" w:rsidRPr="00044A2D" w:rsidRDefault="00044A2D" w:rsidP="00044A2D">
      <w:pPr>
        <w:pStyle w:val="ListBullet"/>
      </w:pPr>
      <w:r w:rsidRPr="00044A2D">
        <w:t>L26 Working with display screen equipment.  The Health and Safety (Display Screen Equipment) Regulations 1992 (as amended).</w:t>
      </w:r>
    </w:p>
    <w:p w14:paraId="3FE94C43" w14:textId="77777777" w:rsidR="00044A2D" w:rsidRDefault="00044A2D" w:rsidP="00044A2D">
      <w:pPr>
        <w:pStyle w:val="ListBullet"/>
      </w:pPr>
      <w:r w:rsidRPr="00044A2D">
        <w:t>INDG36 (rev 4) Working with Display Screen Equipment (DSE).</w:t>
      </w:r>
    </w:p>
    <w:p w14:paraId="79BCBC96" w14:textId="77777777" w:rsidR="003654A6" w:rsidRDefault="003654A6" w:rsidP="003654A6">
      <w:pPr>
        <w:pStyle w:val="ListBullet"/>
        <w:numPr>
          <w:ilvl w:val="0"/>
          <w:numId w:val="0"/>
        </w:numPr>
        <w:ind w:left="360" w:hanging="360"/>
      </w:pPr>
    </w:p>
    <w:tbl>
      <w:tblPr>
        <w:tblStyle w:val="TableGrid"/>
        <w:tblW w:w="0" w:type="auto"/>
        <w:tblLook w:val="04A0" w:firstRow="1" w:lastRow="0" w:firstColumn="1" w:lastColumn="0" w:noHBand="0" w:noVBand="1"/>
      </w:tblPr>
      <w:tblGrid>
        <w:gridCol w:w="562"/>
        <w:gridCol w:w="1632"/>
        <w:gridCol w:w="2390"/>
        <w:gridCol w:w="230"/>
        <w:gridCol w:w="1731"/>
        <w:gridCol w:w="963"/>
        <w:gridCol w:w="2120"/>
      </w:tblGrid>
      <w:tr w:rsidR="006B3FF9" w14:paraId="53853D74" w14:textId="77777777" w:rsidTr="002729C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814" w:type="dxa"/>
            <w:gridSpan w:val="4"/>
          </w:tcPr>
          <w:p w14:paraId="4BD38890" w14:textId="77777777" w:rsidR="006B3FF9" w:rsidRDefault="006B3FF9" w:rsidP="003654A6">
            <w:pPr>
              <w:pStyle w:val="BodyText"/>
              <w:spacing w:after="0"/>
              <w:jc w:val="center"/>
              <w:rPr>
                <w:b w:val="0"/>
              </w:rPr>
            </w:pPr>
            <w:r>
              <w:t>Review History</w:t>
            </w:r>
          </w:p>
        </w:tc>
        <w:tc>
          <w:tcPr>
            <w:tcW w:w="4814" w:type="dxa"/>
            <w:gridSpan w:val="3"/>
          </w:tcPr>
          <w:p w14:paraId="0D7819DF" w14:textId="74005541" w:rsidR="006B3FF9" w:rsidRDefault="006B3FF9" w:rsidP="003654A6">
            <w:pPr>
              <w:pStyle w:val="BodyText"/>
              <w:spacing w:after="0"/>
              <w:jc w:val="center"/>
              <w:cnfStyle w:val="100000000000" w:firstRow="1" w:lastRow="0" w:firstColumn="0" w:lastColumn="0" w:oddVBand="0" w:evenVBand="0" w:oddHBand="0" w:evenHBand="0" w:firstRowFirstColumn="0" w:firstRowLastColumn="0" w:lastRowFirstColumn="0" w:lastRowLastColumn="0"/>
            </w:pPr>
          </w:p>
        </w:tc>
      </w:tr>
      <w:tr w:rsidR="003654A6" w14:paraId="7561BC84" w14:textId="6B7A3DBC" w:rsidTr="003654A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62" w:type="dxa"/>
            <w:hideMark/>
          </w:tcPr>
          <w:p w14:paraId="5CE2D307" w14:textId="2CD1E008" w:rsidR="003654A6" w:rsidRDefault="003654A6" w:rsidP="003654A6">
            <w:pPr>
              <w:pStyle w:val="BodyText"/>
              <w:keepLines w:val="0"/>
              <w:spacing w:after="0"/>
              <w:jc w:val="center"/>
            </w:pPr>
            <w:r>
              <w:t>No.</w:t>
            </w:r>
          </w:p>
        </w:tc>
        <w:tc>
          <w:tcPr>
            <w:tcW w:w="1632" w:type="dxa"/>
            <w:hideMark/>
          </w:tcPr>
          <w:p w14:paraId="04C69780" w14:textId="2CDF0BCA" w:rsidR="003654A6" w:rsidRDefault="003654A6" w:rsidP="003654A6">
            <w:pPr>
              <w:pStyle w:val="BodyText"/>
              <w:keepLines w:val="0"/>
              <w:spacing w:after="0"/>
              <w:jc w:val="center"/>
              <w:cnfStyle w:val="100000000000" w:firstRow="1" w:lastRow="0" w:firstColumn="0" w:lastColumn="0" w:oddVBand="0" w:evenVBand="0" w:oddHBand="0" w:evenHBand="0" w:firstRowFirstColumn="0" w:firstRowLastColumn="0" w:lastRowFirstColumn="0" w:lastRowLastColumn="0"/>
            </w:pPr>
            <w:r>
              <w:t>Date:</w:t>
            </w:r>
          </w:p>
        </w:tc>
        <w:tc>
          <w:tcPr>
            <w:tcW w:w="2390" w:type="dxa"/>
            <w:hideMark/>
          </w:tcPr>
          <w:p w14:paraId="51AEC8D0" w14:textId="2CBD4A8C" w:rsidR="003654A6" w:rsidRDefault="003654A6" w:rsidP="003654A6">
            <w:pPr>
              <w:pStyle w:val="BodyText"/>
              <w:keepLines w:val="0"/>
              <w:spacing w:after="0"/>
              <w:jc w:val="center"/>
              <w:cnfStyle w:val="100000000000" w:firstRow="1" w:lastRow="0" w:firstColumn="0" w:lastColumn="0" w:oddVBand="0" w:evenVBand="0" w:oddHBand="0" w:evenHBand="0" w:firstRowFirstColumn="0" w:firstRowLastColumn="0" w:lastRowFirstColumn="0" w:lastRowLastColumn="0"/>
            </w:pPr>
            <w:r>
              <w:t>Reason for Change</w:t>
            </w:r>
          </w:p>
        </w:tc>
        <w:tc>
          <w:tcPr>
            <w:tcW w:w="1961" w:type="dxa"/>
            <w:gridSpan w:val="2"/>
            <w:hideMark/>
          </w:tcPr>
          <w:p w14:paraId="395AC00F" w14:textId="74E1A5FD" w:rsidR="003654A6" w:rsidRDefault="003654A6" w:rsidP="003654A6">
            <w:pPr>
              <w:pStyle w:val="BodyText"/>
              <w:keepLines w:val="0"/>
              <w:spacing w:after="0"/>
              <w:jc w:val="center"/>
              <w:cnfStyle w:val="100000000000" w:firstRow="1" w:lastRow="0" w:firstColumn="0" w:lastColumn="0" w:oddVBand="0" w:evenVBand="0" w:oddHBand="0" w:evenHBand="0" w:firstRowFirstColumn="0" w:firstRowLastColumn="0" w:lastRowFirstColumn="0" w:lastRowLastColumn="0"/>
            </w:pPr>
            <w:r>
              <w:t>Sections Affected:</w:t>
            </w:r>
          </w:p>
        </w:tc>
        <w:tc>
          <w:tcPr>
            <w:tcW w:w="963" w:type="dxa"/>
            <w:hideMark/>
          </w:tcPr>
          <w:p w14:paraId="6986D9E3" w14:textId="0FA9BF8B" w:rsidR="003654A6" w:rsidRDefault="003654A6" w:rsidP="003654A6">
            <w:pPr>
              <w:pStyle w:val="BodyText"/>
              <w:keepLines w:val="0"/>
              <w:spacing w:after="0"/>
              <w:jc w:val="center"/>
              <w:cnfStyle w:val="100000000000" w:firstRow="1" w:lastRow="0" w:firstColumn="0" w:lastColumn="0" w:oddVBand="0" w:evenVBand="0" w:oddHBand="0" w:evenHBand="0" w:firstRowFirstColumn="0" w:firstRowLastColumn="0" w:lastRowFirstColumn="0" w:lastRowLastColumn="0"/>
            </w:pPr>
            <w:r>
              <w:t>Issue No:</w:t>
            </w:r>
          </w:p>
        </w:tc>
        <w:tc>
          <w:tcPr>
            <w:tcW w:w="2120" w:type="dxa"/>
          </w:tcPr>
          <w:p w14:paraId="4B9F5619" w14:textId="7E25E8DF" w:rsidR="003654A6" w:rsidRDefault="003654A6" w:rsidP="003654A6">
            <w:pPr>
              <w:pStyle w:val="BodyText"/>
              <w:spacing w:after="0"/>
              <w:jc w:val="center"/>
              <w:cnfStyle w:val="100000000000" w:firstRow="1" w:lastRow="0" w:firstColumn="0" w:lastColumn="0" w:oddVBand="0" w:evenVBand="0" w:oddHBand="0" w:evenHBand="0" w:firstRowFirstColumn="0" w:firstRowLastColumn="0" w:lastRowFirstColumn="0" w:lastRowLastColumn="0"/>
            </w:pPr>
            <w:r>
              <w:t>Authorised By:</w:t>
            </w:r>
          </w:p>
        </w:tc>
      </w:tr>
      <w:tr w:rsidR="003654A6" w14:paraId="7D2EF519" w14:textId="3AB6E036" w:rsidTr="003654A6">
        <w:tc>
          <w:tcPr>
            <w:cnfStyle w:val="001000000000" w:firstRow="0" w:lastRow="0" w:firstColumn="1" w:lastColumn="0" w:oddVBand="0" w:evenVBand="0" w:oddHBand="0" w:evenHBand="0" w:firstRowFirstColumn="0" w:firstRowLastColumn="0" w:lastRowFirstColumn="0" w:lastRowLastColumn="0"/>
            <w:tcW w:w="562" w:type="dxa"/>
            <w:tcBorders>
              <w:top w:val="single" w:sz="4" w:space="0" w:color="1D609D" w:themeColor="accent1"/>
              <w:left w:val="single" w:sz="4" w:space="0" w:color="1D609D" w:themeColor="accent1"/>
              <w:bottom w:val="single" w:sz="4" w:space="0" w:color="1D609D" w:themeColor="accent1"/>
              <w:right w:val="single" w:sz="4" w:space="0" w:color="1D609D" w:themeColor="accent1"/>
            </w:tcBorders>
          </w:tcPr>
          <w:p w14:paraId="418A191A" w14:textId="3D871BCA" w:rsidR="003654A6" w:rsidRDefault="003654A6" w:rsidP="00B40892">
            <w:pPr>
              <w:pStyle w:val="BodyText"/>
              <w:spacing w:after="0"/>
            </w:pPr>
            <w:r>
              <w:t>1</w:t>
            </w:r>
          </w:p>
        </w:tc>
        <w:tc>
          <w:tcPr>
            <w:tcW w:w="1632" w:type="dxa"/>
            <w:tcBorders>
              <w:top w:val="single" w:sz="4" w:space="0" w:color="1D609D" w:themeColor="accent1"/>
              <w:left w:val="single" w:sz="4" w:space="0" w:color="1D609D" w:themeColor="accent1"/>
              <w:bottom w:val="single" w:sz="4" w:space="0" w:color="1D609D" w:themeColor="accent1"/>
              <w:right w:val="single" w:sz="4" w:space="0" w:color="1D609D" w:themeColor="accent1"/>
            </w:tcBorders>
          </w:tcPr>
          <w:p w14:paraId="69F1CBBE" w14:textId="7D072551" w:rsidR="003654A6" w:rsidRDefault="003654A6" w:rsidP="00B40892">
            <w:pPr>
              <w:pStyle w:val="BodyText"/>
              <w:spacing w:after="0"/>
              <w:cnfStyle w:val="000000000000" w:firstRow="0" w:lastRow="0" w:firstColumn="0" w:lastColumn="0" w:oddVBand="0" w:evenVBand="0" w:oddHBand="0" w:evenHBand="0" w:firstRowFirstColumn="0" w:firstRowLastColumn="0" w:lastRowFirstColumn="0" w:lastRowLastColumn="0"/>
            </w:pPr>
            <w:r>
              <w:t>01/04/2024</w:t>
            </w:r>
          </w:p>
        </w:tc>
        <w:tc>
          <w:tcPr>
            <w:tcW w:w="2390" w:type="dxa"/>
            <w:tcBorders>
              <w:top w:val="single" w:sz="4" w:space="0" w:color="1D609D" w:themeColor="accent1"/>
              <w:left w:val="single" w:sz="4" w:space="0" w:color="1D609D" w:themeColor="accent1"/>
              <w:bottom w:val="single" w:sz="4" w:space="0" w:color="1D609D" w:themeColor="accent1"/>
              <w:right w:val="single" w:sz="4" w:space="0" w:color="1D609D" w:themeColor="accent1"/>
            </w:tcBorders>
          </w:tcPr>
          <w:p w14:paraId="7C2214EE" w14:textId="7A54F03D" w:rsidR="003654A6" w:rsidRDefault="003654A6" w:rsidP="00B40892">
            <w:pPr>
              <w:pStyle w:val="BodyText"/>
              <w:spacing w:after="0"/>
              <w:cnfStyle w:val="000000000000" w:firstRow="0" w:lastRow="0" w:firstColumn="0" w:lastColumn="0" w:oddVBand="0" w:evenVBand="0" w:oddHBand="0" w:evenHBand="0" w:firstRowFirstColumn="0" w:firstRowLastColumn="0" w:lastRowFirstColumn="0" w:lastRowLastColumn="0"/>
            </w:pPr>
            <w:r>
              <w:t xml:space="preserve">New Guidance </w:t>
            </w:r>
          </w:p>
        </w:tc>
        <w:tc>
          <w:tcPr>
            <w:tcW w:w="1961" w:type="dxa"/>
            <w:gridSpan w:val="2"/>
            <w:tcBorders>
              <w:top w:val="single" w:sz="4" w:space="0" w:color="1D609D" w:themeColor="accent1"/>
              <w:left w:val="single" w:sz="4" w:space="0" w:color="1D609D" w:themeColor="accent1"/>
              <w:bottom w:val="single" w:sz="4" w:space="0" w:color="1D609D" w:themeColor="accent1"/>
              <w:right w:val="single" w:sz="4" w:space="0" w:color="1D609D" w:themeColor="accent1"/>
            </w:tcBorders>
          </w:tcPr>
          <w:p w14:paraId="4289F7A8" w14:textId="3EE7F823" w:rsidR="003654A6" w:rsidRDefault="003654A6" w:rsidP="00B40892">
            <w:pPr>
              <w:pStyle w:val="BodyText"/>
              <w:spacing w:after="0"/>
              <w:cnfStyle w:val="000000000000" w:firstRow="0" w:lastRow="0" w:firstColumn="0" w:lastColumn="0" w:oddVBand="0" w:evenVBand="0" w:oddHBand="0" w:evenHBand="0" w:firstRowFirstColumn="0" w:firstRowLastColumn="0" w:lastRowFirstColumn="0" w:lastRowLastColumn="0"/>
            </w:pPr>
            <w:r>
              <w:t xml:space="preserve">All </w:t>
            </w:r>
          </w:p>
        </w:tc>
        <w:tc>
          <w:tcPr>
            <w:tcW w:w="963" w:type="dxa"/>
            <w:tcBorders>
              <w:top w:val="single" w:sz="4" w:space="0" w:color="1D609D" w:themeColor="accent1"/>
              <w:left w:val="single" w:sz="4" w:space="0" w:color="1D609D" w:themeColor="accent1"/>
              <w:bottom w:val="single" w:sz="4" w:space="0" w:color="1D609D" w:themeColor="accent1"/>
              <w:right w:val="single" w:sz="4" w:space="0" w:color="1D609D" w:themeColor="accent1"/>
            </w:tcBorders>
          </w:tcPr>
          <w:p w14:paraId="41EEB1FC" w14:textId="4E2B2D02" w:rsidR="003654A6" w:rsidRDefault="003654A6" w:rsidP="00B40892">
            <w:pPr>
              <w:pStyle w:val="BodyText"/>
              <w:spacing w:after="0"/>
              <w:cnfStyle w:val="000000000000" w:firstRow="0" w:lastRow="0" w:firstColumn="0" w:lastColumn="0" w:oddVBand="0" w:evenVBand="0" w:oddHBand="0" w:evenHBand="0" w:firstRowFirstColumn="0" w:firstRowLastColumn="0" w:lastRowFirstColumn="0" w:lastRowLastColumn="0"/>
            </w:pPr>
            <w:r>
              <w:t>01</w:t>
            </w:r>
          </w:p>
        </w:tc>
        <w:tc>
          <w:tcPr>
            <w:tcW w:w="2120" w:type="dxa"/>
            <w:tcBorders>
              <w:top w:val="single" w:sz="4" w:space="0" w:color="1D609D" w:themeColor="accent1"/>
              <w:left w:val="single" w:sz="4" w:space="0" w:color="1D609D" w:themeColor="accent1"/>
              <w:bottom w:val="single" w:sz="4" w:space="0" w:color="1D609D" w:themeColor="accent1"/>
              <w:right w:val="single" w:sz="4" w:space="0" w:color="1D609D" w:themeColor="accent1"/>
            </w:tcBorders>
          </w:tcPr>
          <w:p w14:paraId="14C45D5F" w14:textId="2D5C6449" w:rsidR="003654A6" w:rsidRDefault="003654A6" w:rsidP="00B40892">
            <w:pPr>
              <w:pStyle w:val="BodyText"/>
              <w:spacing w:after="0"/>
              <w:cnfStyle w:val="000000000000" w:firstRow="0" w:lastRow="0" w:firstColumn="0" w:lastColumn="0" w:oddVBand="0" w:evenVBand="0" w:oddHBand="0" w:evenHBand="0" w:firstRowFirstColumn="0" w:firstRowLastColumn="0" w:lastRowFirstColumn="0" w:lastRowLastColumn="0"/>
            </w:pPr>
            <w:r>
              <w:t>CFHS</w:t>
            </w:r>
          </w:p>
        </w:tc>
      </w:tr>
      <w:tr w:rsidR="003654A6" w14:paraId="747F895E" w14:textId="4C3ED29D" w:rsidTr="003654A6">
        <w:tc>
          <w:tcPr>
            <w:cnfStyle w:val="001000000000" w:firstRow="0" w:lastRow="0" w:firstColumn="1" w:lastColumn="0" w:oddVBand="0" w:evenVBand="0" w:oddHBand="0" w:evenHBand="0" w:firstRowFirstColumn="0" w:firstRowLastColumn="0" w:lastRowFirstColumn="0" w:lastRowLastColumn="0"/>
            <w:tcW w:w="562" w:type="dxa"/>
            <w:tcBorders>
              <w:top w:val="single" w:sz="4" w:space="0" w:color="1D609D" w:themeColor="accent1"/>
              <w:left w:val="single" w:sz="4" w:space="0" w:color="1D609D" w:themeColor="accent1"/>
              <w:bottom w:val="single" w:sz="4" w:space="0" w:color="1D609D" w:themeColor="accent1"/>
              <w:right w:val="single" w:sz="4" w:space="0" w:color="1D609D" w:themeColor="accent1"/>
            </w:tcBorders>
          </w:tcPr>
          <w:p w14:paraId="0D7DB726" w14:textId="0341DF64" w:rsidR="003654A6" w:rsidRDefault="003654A6" w:rsidP="00B40892">
            <w:pPr>
              <w:pStyle w:val="BodyText"/>
              <w:spacing w:after="0"/>
            </w:pPr>
            <w:r>
              <w:lastRenderedPageBreak/>
              <w:t>2</w:t>
            </w:r>
          </w:p>
        </w:tc>
        <w:tc>
          <w:tcPr>
            <w:tcW w:w="1632" w:type="dxa"/>
            <w:tcBorders>
              <w:top w:val="single" w:sz="4" w:space="0" w:color="1D609D" w:themeColor="accent1"/>
              <w:left w:val="single" w:sz="4" w:space="0" w:color="1D609D" w:themeColor="accent1"/>
              <w:bottom w:val="single" w:sz="4" w:space="0" w:color="1D609D" w:themeColor="accent1"/>
              <w:right w:val="single" w:sz="4" w:space="0" w:color="1D609D" w:themeColor="accent1"/>
            </w:tcBorders>
          </w:tcPr>
          <w:p w14:paraId="2AE7D20C" w14:textId="399A3AD7" w:rsidR="003654A6" w:rsidRDefault="003654A6" w:rsidP="00B40892">
            <w:pPr>
              <w:pStyle w:val="BodyText"/>
              <w:spacing w:after="0"/>
              <w:cnfStyle w:val="000000000000" w:firstRow="0" w:lastRow="0" w:firstColumn="0" w:lastColumn="0" w:oddVBand="0" w:evenVBand="0" w:oddHBand="0" w:evenHBand="0" w:firstRowFirstColumn="0" w:firstRowLastColumn="0" w:lastRowFirstColumn="0" w:lastRowLastColumn="0"/>
            </w:pPr>
          </w:p>
        </w:tc>
        <w:tc>
          <w:tcPr>
            <w:tcW w:w="2390" w:type="dxa"/>
            <w:tcBorders>
              <w:top w:val="single" w:sz="4" w:space="0" w:color="1D609D" w:themeColor="accent1"/>
              <w:left w:val="single" w:sz="4" w:space="0" w:color="1D609D" w:themeColor="accent1"/>
              <w:bottom w:val="single" w:sz="4" w:space="0" w:color="1D609D" w:themeColor="accent1"/>
              <w:right w:val="single" w:sz="4" w:space="0" w:color="1D609D" w:themeColor="accent1"/>
            </w:tcBorders>
          </w:tcPr>
          <w:p w14:paraId="1A71D467" w14:textId="501B124F" w:rsidR="003654A6" w:rsidRDefault="003654A6" w:rsidP="00B40892">
            <w:pPr>
              <w:pStyle w:val="BodyText"/>
              <w:spacing w:after="0"/>
              <w:cnfStyle w:val="000000000000" w:firstRow="0" w:lastRow="0" w:firstColumn="0" w:lastColumn="0" w:oddVBand="0" w:evenVBand="0" w:oddHBand="0" w:evenHBand="0" w:firstRowFirstColumn="0" w:firstRowLastColumn="0" w:lastRowFirstColumn="0" w:lastRowLastColumn="0"/>
            </w:pPr>
          </w:p>
        </w:tc>
        <w:tc>
          <w:tcPr>
            <w:tcW w:w="1961" w:type="dxa"/>
            <w:gridSpan w:val="2"/>
            <w:tcBorders>
              <w:top w:val="single" w:sz="4" w:space="0" w:color="1D609D" w:themeColor="accent1"/>
              <w:left w:val="single" w:sz="4" w:space="0" w:color="1D609D" w:themeColor="accent1"/>
              <w:bottom w:val="single" w:sz="4" w:space="0" w:color="1D609D" w:themeColor="accent1"/>
              <w:right w:val="single" w:sz="4" w:space="0" w:color="1D609D" w:themeColor="accent1"/>
            </w:tcBorders>
          </w:tcPr>
          <w:p w14:paraId="1BEE362E" w14:textId="792D0B65" w:rsidR="003654A6" w:rsidRDefault="003654A6" w:rsidP="00B40892">
            <w:pPr>
              <w:pStyle w:val="BodyText"/>
              <w:spacing w:after="0"/>
              <w:cnfStyle w:val="000000000000" w:firstRow="0" w:lastRow="0" w:firstColumn="0" w:lastColumn="0" w:oddVBand="0" w:evenVBand="0" w:oddHBand="0" w:evenHBand="0" w:firstRowFirstColumn="0" w:firstRowLastColumn="0" w:lastRowFirstColumn="0" w:lastRowLastColumn="0"/>
            </w:pPr>
          </w:p>
        </w:tc>
        <w:tc>
          <w:tcPr>
            <w:tcW w:w="963" w:type="dxa"/>
            <w:tcBorders>
              <w:top w:val="single" w:sz="4" w:space="0" w:color="1D609D" w:themeColor="accent1"/>
              <w:left w:val="single" w:sz="4" w:space="0" w:color="1D609D" w:themeColor="accent1"/>
              <w:bottom w:val="single" w:sz="4" w:space="0" w:color="1D609D" w:themeColor="accent1"/>
              <w:right w:val="single" w:sz="4" w:space="0" w:color="1D609D" w:themeColor="accent1"/>
            </w:tcBorders>
          </w:tcPr>
          <w:p w14:paraId="1CA1567C" w14:textId="320EB470" w:rsidR="003654A6" w:rsidRDefault="003654A6" w:rsidP="00B40892">
            <w:pPr>
              <w:pStyle w:val="BodyText"/>
              <w:spacing w:after="0"/>
              <w:cnfStyle w:val="000000000000" w:firstRow="0" w:lastRow="0" w:firstColumn="0" w:lastColumn="0" w:oddVBand="0" w:evenVBand="0" w:oddHBand="0" w:evenHBand="0" w:firstRowFirstColumn="0" w:firstRowLastColumn="0" w:lastRowFirstColumn="0" w:lastRowLastColumn="0"/>
            </w:pPr>
          </w:p>
        </w:tc>
        <w:tc>
          <w:tcPr>
            <w:tcW w:w="2120" w:type="dxa"/>
            <w:tcBorders>
              <w:top w:val="single" w:sz="4" w:space="0" w:color="1D609D" w:themeColor="accent1"/>
              <w:left w:val="single" w:sz="4" w:space="0" w:color="1D609D" w:themeColor="accent1"/>
              <w:bottom w:val="single" w:sz="4" w:space="0" w:color="1D609D" w:themeColor="accent1"/>
              <w:right w:val="single" w:sz="4" w:space="0" w:color="1D609D" w:themeColor="accent1"/>
            </w:tcBorders>
          </w:tcPr>
          <w:p w14:paraId="2122A75B" w14:textId="77777777" w:rsidR="003654A6" w:rsidRDefault="003654A6" w:rsidP="00B40892">
            <w:pPr>
              <w:pStyle w:val="BodyText"/>
              <w:spacing w:after="0"/>
              <w:cnfStyle w:val="000000000000" w:firstRow="0" w:lastRow="0" w:firstColumn="0" w:lastColumn="0" w:oddVBand="0" w:evenVBand="0" w:oddHBand="0" w:evenHBand="0" w:firstRowFirstColumn="0" w:firstRowLastColumn="0" w:lastRowFirstColumn="0" w:lastRowLastColumn="0"/>
            </w:pPr>
          </w:p>
        </w:tc>
      </w:tr>
      <w:tr w:rsidR="003654A6" w14:paraId="1A469134" w14:textId="497B0B20" w:rsidTr="003654A6">
        <w:tc>
          <w:tcPr>
            <w:cnfStyle w:val="001000000000" w:firstRow="0" w:lastRow="0" w:firstColumn="1" w:lastColumn="0" w:oddVBand="0" w:evenVBand="0" w:oddHBand="0" w:evenHBand="0" w:firstRowFirstColumn="0" w:firstRowLastColumn="0" w:lastRowFirstColumn="0" w:lastRowLastColumn="0"/>
            <w:tcW w:w="562" w:type="dxa"/>
            <w:tcBorders>
              <w:top w:val="single" w:sz="4" w:space="0" w:color="1D609D" w:themeColor="accent1"/>
              <w:left w:val="single" w:sz="4" w:space="0" w:color="1D609D" w:themeColor="accent1"/>
              <w:bottom w:val="single" w:sz="4" w:space="0" w:color="1D609D" w:themeColor="accent1"/>
              <w:right w:val="single" w:sz="4" w:space="0" w:color="1D609D" w:themeColor="accent1"/>
            </w:tcBorders>
          </w:tcPr>
          <w:p w14:paraId="5BC5CF70" w14:textId="1123ABFD" w:rsidR="003654A6" w:rsidRDefault="003654A6" w:rsidP="00B40892">
            <w:pPr>
              <w:pStyle w:val="BodyText"/>
              <w:spacing w:after="0"/>
            </w:pPr>
            <w:r>
              <w:t>3</w:t>
            </w:r>
          </w:p>
        </w:tc>
        <w:tc>
          <w:tcPr>
            <w:tcW w:w="1632" w:type="dxa"/>
            <w:tcBorders>
              <w:top w:val="single" w:sz="4" w:space="0" w:color="1D609D" w:themeColor="accent1"/>
              <w:left w:val="single" w:sz="4" w:space="0" w:color="1D609D" w:themeColor="accent1"/>
              <w:bottom w:val="single" w:sz="4" w:space="0" w:color="1D609D" w:themeColor="accent1"/>
              <w:right w:val="single" w:sz="4" w:space="0" w:color="1D609D" w:themeColor="accent1"/>
            </w:tcBorders>
          </w:tcPr>
          <w:p w14:paraId="4EB3D1EE" w14:textId="57CCF447" w:rsidR="003654A6" w:rsidRDefault="003654A6" w:rsidP="00B40892">
            <w:pPr>
              <w:pStyle w:val="BodyText"/>
              <w:spacing w:after="0"/>
              <w:cnfStyle w:val="000000000000" w:firstRow="0" w:lastRow="0" w:firstColumn="0" w:lastColumn="0" w:oddVBand="0" w:evenVBand="0" w:oddHBand="0" w:evenHBand="0" w:firstRowFirstColumn="0" w:firstRowLastColumn="0" w:lastRowFirstColumn="0" w:lastRowLastColumn="0"/>
            </w:pPr>
          </w:p>
        </w:tc>
        <w:tc>
          <w:tcPr>
            <w:tcW w:w="2390" w:type="dxa"/>
            <w:tcBorders>
              <w:top w:val="single" w:sz="4" w:space="0" w:color="1D609D" w:themeColor="accent1"/>
              <w:left w:val="single" w:sz="4" w:space="0" w:color="1D609D" w:themeColor="accent1"/>
              <w:bottom w:val="single" w:sz="4" w:space="0" w:color="1D609D" w:themeColor="accent1"/>
              <w:right w:val="single" w:sz="4" w:space="0" w:color="1D609D" w:themeColor="accent1"/>
            </w:tcBorders>
          </w:tcPr>
          <w:p w14:paraId="638973EC" w14:textId="5591DCB5" w:rsidR="003654A6" w:rsidRDefault="003654A6" w:rsidP="00B40892">
            <w:pPr>
              <w:pStyle w:val="BodyText"/>
              <w:spacing w:after="0"/>
              <w:cnfStyle w:val="000000000000" w:firstRow="0" w:lastRow="0" w:firstColumn="0" w:lastColumn="0" w:oddVBand="0" w:evenVBand="0" w:oddHBand="0" w:evenHBand="0" w:firstRowFirstColumn="0" w:firstRowLastColumn="0" w:lastRowFirstColumn="0" w:lastRowLastColumn="0"/>
            </w:pPr>
          </w:p>
        </w:tc>
        <w:tc>
          <w:tcPr>
            <w:tcW w:w="1961" w:type="dxa"/>
            <w:gridSpan w:val="2"/>
            <w:tcBorders>
              <w:top w:val="single" w:sz="4" w:space="0" w:color="1D609D" w:themeColor="accent1"/>
              <w:left w:val="single" w:sz="4" w:space="0" w:color="1D609D" w:themeColor="accent1"/>
              <w:bottom w:val="single" w:sz="4" w:space="0" w:color="1D609D" w:themeColor="accent1"/>
              <w:right w:val="single" w:sz="4" w:space="0" w:color="1D609D" w:themeColor="accent1"/>
            </w:tcBorders>
          </w:tcPr>
          <w:p w14:paraId="2B31041F" w14:textId="38DB712F" w:rsidR="003654A6" w:rsidRDefault="003654A6" w:rsidP="00B40892">
            <w:pPr>
              <w:pStyle w:val="BodyText"/>
              <w:spacing w:after="0"/>
              <w:cnfStyle w:val="000000000000" w:firstRow="0" w:lastRow="0" w:firstColumn="0" w:lastColumn="0" w:oddVBand="0" w:evenVBand="0" w:oddHBand="0" w:evenHBand="0" w:firstRowFirstColumn="0" w:firstRowLastColumn="0" w:lastRowFirstColumn="0" w:lastRowLastColumn="0"/>
            </w:pPr>
          </w:p>
        </w:tc>
        <w:tc>
          <w:tcPr>
            <w:tcW w:w="963" w:type="dxa"/>
            <w:tcBorders>
              <w:top w:val="single" w:sz="4" w:space="0" w:color="1D609D" w:themeColor="accent1"/>
              <w:left w:val="single" w:sz="4" w:space="0" w:color="1D609D" w:themeColor="accent1"/>
              <w:bottom w:val="single" w:sz="4" w:space="0" w:color="1D609D" w:themeColor="accent1"/>
              <w:right w:val="single" w:sz="4" w:space="0" w:color="1D609D" w:themeColor="accent1"/>
            </w:tcBorders>
          </w:tcPr>
          <w:p w14:paraId="1277D582" w14:textId="05340CCB" w:rsidR="003654A6" w:rsidRDefault="003654A6" w:rsidP="00B40892">
            <w:pPr>
              <w:pStyle w:val="BodyText"/>
              <w:spacing w:after="0"/>
              <w:cnfStyle w:val="000000000000" w:firstRow="0" w:lastRow="0" w:firstColumn="0" w:lastColumn="0" w:oddVBand="0" w:evenVBand="0" w:oddHBand="0" w:evenHBand="0" w:firstRowFirstColumn="0" w:firstRowLastColumn="0" w:lastRowFirstColumn="0" w:lastRowLastColumn="0"/>
            </w:pPr>
          </w:p>
        </w:tc>
        <w:tc>
          <w:tcPr>
            <w:tcW w:w="2120" w:type="dxa"/>
            <w:tcBorders>
              <w:top w:val="single" w:sz="4" w:space="0" w:color="1D609D" w:themeColor="accent1"/>
              <w:left w:val="single" w:sz="4" w:space="0" w:color="1D609D" w:themeColor="accent1"/>
              <w:bottom w:val="single" w:sz="4" w:space="0" w:color="1D609D" w:themeColor="accent1"/>
              <w:right w:val="single" w:sz="4" w:space="0" w:color="1D609D" w:themeColor="accent1"/>
            </w:tcBorders>
          </w:tcPr>
          <w:p w14:paraId="1066A5E4" w14:textId="77777777" w:rsidR="003654A6" w:rsidRDefault="003654A6" w:rsidP="00B40892">
            <w:pPr>
              <w:pStyle w:val="BodyText"/>
              <w:spacing w:after="0"/>
              <w:cnfStyle w:val="000000000000" w:firstRow="0" w:lastRow="0" w:firstColumn="0" w:lastColumn="0" w:oddVBand="0" w:evenVBand="0" w:oddHBand="0" w:evenHBand="0" w:firstRowFirstColumn="0" w:firstRowLastColumn="0" w:lastRowFirstColumn="0" w:lastRowLastColumn="0"/>
            </w:pPr>
          </w:p>
        </w:tc>
      </w:tr>
    </w:tbl>
    <w:p w14:paraId="68A72911" w14:textId="77777777" w:rsidR="003654A6" w:rsidRDefault="003654A6" w:rsidP="003654A6">
      <w:pPr>
        <w:pStyle w:val="ListBullet"/>
        <w:numPr>
          <w:ilvl w:val="0"/>
          <w:numId w:val="0"/>
        </w:numPr>
        <w:ind w:left="360" w:hanging="360"/>
      </w:pPr>
    </w:p>
    <w:p w14:paraId="64D4C40B" w14:textId="77777777" w:rsidR="003654A6" w:rsidRPr="00044A2D" w:rsidRDefault="003654A6" w:rsidP="003654A6">
      <w:pPr>
        <w:pStyle w:val="ListBullet"/>
        <w:numPr>
          <w:ilvl w:val="0"/>
          <w:numId w:val="0"/>
        </w:numPr>
        <w:ind w:left="360" w:hanging="360"/>
      </w:pPr>
    </w:p>
    <w:p w14:paraId="55A3F954" w14:textId="77777777" w:rsidR="00044A2D" w:rsidRDefault="00044A2D" w:rsidP="00044A2D">
      <w:pPr>
        <w:pStyle w:val="BodyText"/>
      </w:pPr>
    </w:p>
    <w:p w14:paraId="7D274A96" w14:textId="77777777" w:rsidR="003654A6" w:rsidRDefault="003654A6" w:rsidP="00044A2D">
      <w:pPr>
        <w:pStyle w:val="BodyText"/>
      </w:pPr>
    </w:p>
    <w:p w14:paraId="35689895" w14:textId="77777777" w:rsidR="003654A6" w:rsidRDefault="003654A6" w:rsidP="00044A2D">
      <w:pPr>
        <w:pStyle w:val="BodyText"/>
      </w:pPr>
    </w:p>
    <w:p w14:paraId="4FCA4B5C" w14:textId="14733092" w:rsidR="003654A6" w:rsidRDefault="003654A6" w:rsidP="003654A6">
      <w:pPr>
        <w:pStyle w:val="Heading1"/>
      </w:pPr>
      <w:bookmarkStart w:id="52" w:name="_Toc158717138"/>
      <w:bookmarkStart w:id="53" w:name="_Toc158717456"/>
      <w:r>
        <w:t>Appendix 1</w:t>
      </w:r>
      <w:bookmarkEnd w:id="52"/>
      <w:bookmarkEnd w:id="53"/>
    </w:p>
    <w:p w14:paraId="026663AC" w14:textId="6FCF63FB" w:rsidR="003654A6" w:rsidRPr="0031154C" w:rsidRDefault="003654A6" w:rsidP="0031154C">
      <w:pPr>
        <w:pStyle w:val="BodyText"/>
        <w:rPr>
          <w:b/>
          <w:bCs/>
        </w:rPr>
      </w:pPr>
      <w:r w:rsidRPr="0031154C">
        <w:rPr>
          <w:b/>
          <w:bCs/>
        </w:rPr>
        <w:t xml:space="preserve">DSE Set up and Adjustments. </w:t>
      </w:r>
    </w:p>
    <w:p w14:paraId="4090848B" w14:textId="77777777" w:rsidR="003654A6" w:rsidRPr="0031154C" w:rsidRDefault="003654A6" w:rsidP="0031154C">
      <w:pPr>
        <w:pStyle w:val="BodyText"/>
      </w:pPr>
      <w:r w:rsidRPr="0031154C">
        <w:t xml:space="preserve">What can I do for myself?  Make full use of the equipment provided and adjust it to get the best from it thus avoiding potential health problems ensuring that you can be as comfortable as possible.  Here are some practical tips: </w:t>
      </w:r>
    </w:p>
    <w:p w14:paraId="310D63CF" w14:textId="4B0F36DA" w:rsidR="003654A6" w:rsidRPr="003654A6" w:rsidRDefault="003654A6" w:rsidP="0031154C">
      <w:pPr>
        <w:pStyle w:val="BodyText"/>
        <w:rPr>
          <w:b/>
          <w:bCs/>
        </w:rPr>
      </w:pPr>
      <w:r w:rsidRPr="003654A6">
        <w:rPr>
          <w:b/>
          <w:bCs/>
        </w:rPr>
        <w:t>Getting Comfortable</w:t>
      </w:r>
    </w:p>
    <w:p w14:paraId="6E23D4A4" w14:textId="77777777" w:rsidR="003654A6" w:rsidRPr="003654A6" w:rsidRDefault="003654A6" w:rsidP="003654A6">
      <w:pPr>
        <w:pStyle w:val="ListBullet"/>
      </w:pPr>
      <w:r w:rsidRPr="003654A6">
        <w:t>Chairs should be comfortable with the seat adjustable in height and the backrest adjustable in height and tilt and should have a 5-point stable wheelbase.</w:t>
      </w:r>
    </w:p>
    <w:p w14:paraId="6FA19442" w14:textId="77777777" w:rsidR="003654A6" w:rsidRPr="003654A6" w:rsidRDefault="003654A6" w:rsidP="003654A6">
      <w:pPr>
        <w:pStyle w:val="ListBullet"/>
      </w:pPr>
      <w:r w:rsidRPr="003654A6">
        <w:t xml:space="preserve">Adjust your chair and DSE to find the most comfortable position for your work; as a guide, your forearms should be approximately horizontal (with your armrests and the desk) and your eyes level with the top of the screen. </w:t>
      </w:r>
    </w:p>
    <w:p w14:paraId="24C18B69" w14:textId="77777777" w:rsidR="003654A6" w:rsidRPr="003654A6" w:rsidRDefault="003654A6" w:rsidP="003654A6">
      <w:pPr>
        <w:pStyle w:val="ListBullet"/>
      </w:pPr>
      <w:r w:rsidRPr="003654A6">
        <w:t xml:space="preserve">Make sure you have enough workspace, try different arrangements of keyboard, screen, mouse, and documents to find the best arrangement for you. Place items in their optimal position to avoid unnecessary movement or overreaching.  Document holders may assist to avoid awkward neck and eye movements. </w:t>
      </w:r>
    </w:p>
    <w:p w14:paraId="300DF01F" w14:textId="77777777" w:rsidR="003654A6" w:rsidRPr="003654A6" w:rsidRDefault="003654A6" w:rsidP="003654A6">
      <w:pPr>
        <w:pStyle w:val="ListBullet"/>
      </w:pPr>
      <w:r w:rsidRPr="003654A6">
        <w:t xml:space="preserve">Arrange your desk and DSE to avoid glare, or bright reflections on the screen. This will be easiest if neither you nor the screen is directly facing windows or bright lights. Adjust curtains or blinds to prevent unwanted light. </w:t>
      </w:r>
    </w:p>
    <w:p w14:paraId="21C198D9" w14:textId="77777777" w:rsidR="003654A6" w:rsidRPr="003654A6" w:rsidRDefault="003654A6" w:rsidP="003654A6">
      <w:pPr>
        <w:pStyle w:val="ListBullet"/>
      </w:pPr>
      <w:r w:rsidRPr="003654A6">
        <w:t xml:space="preserve">Make sure there is sufficient space under your desk to move your legs freely. Move any obstacles such as boxes, drawers, or equipment. </w:t>
      </w:r>
    </w:p>
    <w:p w14:paraId="1B119088" w14:textId="77777777" w:rsidR="003654A6" w:rsidRPr="003654A6" w:rsidRDefault="003654A6" w:rsidP="003654A6">
      <w:pPr>
        <w:pStyle w:val="ListBullet"/>
      </w:pPr>
      <w:r w:rsidRPr="003654A6">
        <w:t>Avoid excess pressure from the edge of your seat on the backs of your legs and knees. Users may need a footrest to achieve a comfortable working posture.</w:t>
      </w:r>
    </w:p>
    <w:p w14:paraId="0BE260C4" w14:textId="77777777" w:rsidR="003654A6" w:rsidRPr="003654A6" w:rsidRDefault="003654A6" w:rsidP="003654A6">
      <w:pPr>
        <w:pStyle w:val="ListBullet"/>
      </w:pPr>
      <w:r w:rsidRPr="003654A6">
        <w:t>Display screens should freely tilt to provide a comfortable working position.</w:t>
      </w:r>
    </w:p>
    <w:p w14:paraId="7AD9DA73" w14:textId="77777777" w:rsidR="003654A6" w:rsidRPr="00907017" w:rsidRDefault="003654A6" w:rsidP="0031154C">
      <w:pPr>
        <w:pStyle w:val="EmphasisText"/>
      </w:pPr>
      <w:r w:rsidRPr="003654A6">
        <w:rPr>
          <w:u w:val="single"/>
        </w:rPr>
        <w:lastRenderedPageBreak/>
        <w:t>Note</w:t>
      </w:r>
      <w:r w:rsidRPr="00907017">
        <w:t>:  WRULD</w:t>
      </w:r>
      <w:r>
        <w:t>s</w:t>
      </w:r>
      <w:r w:rsidRPr="00907017">
        <w:t>:  Work Related Upper Limb Disorders</w:t>
      </w:r>
    </w:p>
    <w:p w14:paraId="317AF28E" w14:textId="13EB3A0D" w:rsidR="003654A6" w:rsidRDefault="003654A6" w:rsidP="003654A6">
      <w:pPr>
        <w:pStyle w:val="BodyText"/>
        <w:jc w:val="center"/>
      </w:pPr>
      <w:r w:rsidRPr="000D02DF">
        <w:rPr>
          <w:rFonts w:cs="Arial"/>
          <w:b/>
          <w:noProof/>
          <w:color w:val="000000"/>
          <w:sz w:val="22"/>
          <w:u w:val="single"/>
        </w:rPr>
        <w:drawing>
          <wp:inline distT="0" distB="0" distL="0" distR="0" wp14:anchorId="421EBA4C" wp14:editId="5D6E1C25">
            <wp:extent cx="3940631" cy="2530549"/>
            <wp:effectExtent l="0" t="0" r="3175" b="3175"/>
            <wp:docPr id="890109246" name="Picture 1" descr="DSE set up and adjustments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109246" name="Picture 1" descr="DSE set up and adjustments diagram"/>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946502" cy="2534319"/>
                    </a:xfrm>
                    <a:prstGeom prst="rect">
                      <a:avLst/>
                    </a:prstGeom>
                    <a:noFill/>
                    <a:ln>
                      <a:noFill/>
                    </a:ln>
                  </pic:spPr>
                </pic:pic>
              </a:graphicData>
            </a:graphic>
          </wp:inline>
        </w:drawing>
      </w:r>
    </w:p>
    <w:p w14:paraId="4BE128F0" w14:textId="100EBE8F" w:rsidR="00044A2D" w:rsidRPr="003654A6" w:rsidRDefault="003654A6" w:rsidP="00044A2D">
      <w:pPr>
        <w:pStyle w:val="BodyText"/>
        <w:rPr>
          <w:b/>
          <w:bCs/>
        </w:rPr>
      </w:pPr>
      <w:r w:rsidRPr="003654A6">
        <w:rPr>
          <w:b/>
          <w:bCs/>
        </w:rPr>
        <w:t xml:space="preserve">Keying In </w:t>
      </w:r>
    </w:p>
    <w:p w14:paraId="72E339EA" w14:textId="77777777" w:rsidR="003654A6" w:rsidRPr="003654A6" w:rsidRDefault="003654A6" w:rsidP="003654A6">
      <w:pPr>
        <w:pStyle w:val="ListBullet"/>
      </w:pPr>
      <w:r w:rsidRPr="003654A6">
        <w:t xml:space="preserve">Keyboards should tilt and be separated from the screen to allow a comfortable working position. </w:t>
      </w:r>
    </w:p>
    <w:p w14:paraId="1231ADDD" w14:textId="77777777" w:rsidR="003654A6" w:rsidRPr="003654A6" w:rsidRDefault="003654A6" w:rsidP="003654A6">
      <w:pPr>
        <w:pStyle w:val="ListBullet"/>
      </w:pPr>
      <w:r w:rsidRPr="003654A6">
        <w:t xml:space="preserve">Adjust your keyboard to get a good keying position. A space in front of the keyboard is sometimes helpful for resting the hands and wrists. </w:t>
      </w:r>
    </w:p>
    <w:p w14:paraId="16E7A179" w14:textId="77777777" w:rsidR="003654A6" w:rsidRDefault="003654A6" w:rsidP="003654A6">
      <w:pPr>
        <w:pStyle w:val="ListBullet"/>
      </w:pPr>
      <w:r w:rsidRPr="003654A6">
        <w:t xml:space="preserve">Try to keep your wrists straight when keying. Keep a soft touch on the keys and do not overstretch your fingers. </w:t>
      </w:r>
    </w:p>
    <w:p w14:paraId="5056BA8C" w14:textId="434DBA2C" w:rsidR="003654A6" w:rsidRDefault="003654A6" w:rsidP="003654A6">
      <w:pPr>
        <w:pStyle w:val="BodyText"/>
        <w:rPr>
          <w:b/>
          <w:bCs/>
        </w:rPr>
      </w:pPr>
      <w:r w:rsidRPr="003654A6">
        <w:rPr>
          <w:b/>
          <w:bCs/>
        </w:rPr>
        <w:t xml:space="preserve">Using a mouse </w:t>
      </w:r>
    </w:p>
    <w:p w14:paraId="2DCB8A95" w14:textId="77777777" w:rsidR="003654A6" w:rsidRPr="003654A6" w:rsidRDefault="003654A6" w:rsidP="003654A6">
      <w:pPr>
        <w:pStyle w:val="ListBullet"/>
      </w:pPr>
      <w:r w:rsidRPr="003654A6">
        <w:t>The mouse should be mobile with space to navigate freely. Support for the hands and arms while typing or resting should be provided where applicable.</w:t>
      </w:r>
    </w:p>
    <w:p w14:paraId="749039B6" w14:textId="77777777" w:rsidR="003654A6" w:rsidRPr="003654A6" w:rsidRDefault="003654A6" w:rsidP="003654A6">
      <w:pPr>
        <w:pStyle w:val="ListBullet"/>
      </w:pPr>
      <w:r w:rsidRPr="003654A6">
        <w:t>Position the mouse within easy reach, so it can be used with the wrist straight.</w:t>
      </w:r>
    </w:p>
    <w:p w14:paraId="5C02F52D" w14:textId="77777777" w:rsidR="003654A6" w:rsidRPr="003654A6" w:rsidRDefault="003654A6" w:rsidP="003654A6">
      <w:pPr>
        <w:pStyle w:val="ListBullet"/>
      </w:pPr>
      <w:r w:rsidRPr="003654A6">
        <w:t xml:space="preserve">Adjust the mouse sensitivity to reduce the amount of required hand / wrist movement. </w:t>
      </w:r>
    </w:p>
    <w:p w14:paraId="78849523" w14:textId="77777777" w:rsidR="003654A6" w:rsidRPr="003654A6" w:rsidRDefault="003654A6" w:rsidP="003654A6">
      <w:pPr>
        <w:pStyle w:val="ListBullet"/>
      </w:pPr>
      <w:r w:rsidRPr="003654A6">
        <w:t xml:space="preserve">Sit upright and close to the desk, so you do not have to work with your mouse arm stretched. </w:t>
      </w:r>
    </w:p>
    <w:p w14:paraId="115A5F19" w14:textId="77777777" w:rsidR="003654A6" w:rsidRPr="003654A6" w:rsidRDefault="003654A6" w:rsidP="003654A6">
      <w:pPr>
        <w:pStyle w:val="ListBullet"/>
      </w:pPr>
      <w:r w:rsidRPr="003654A6">
        <w:t xml:space="preserve">Move the keyboard out of the way if it is not being used. </w:t>
      </w:r>
    </w:p>
    <w:p w14:paraId="52FEED77" w14:textId="77777777" w:rsidR="003654A6" w:rsidRPr="003654A6" w:rsidRDefault="003654A6" w:rsidP="003654A6">
      <w:pPr>
        <w:pStyle w:val="ListBullet"/>
      </w:pPr>
      <w:r w:rsidRPr="003654A6">
        <w:t xml:space="preserve">Support your forearm on the desk and do not grip the mouse too tightly. </w:t>
      </w:r>
    </w:p>
    <w:p w14:paraId="18E8CE97" w14:textId="77777777" w:rsidR="003654A6" w:rsidRPr="003654A6" w:rsidRDefault="003654A6" w:rsidP="003654A6">
      <w:pPr>
        <w:pStyle w:val="ListBullet"/>
      </w:pPr>
      <w:r w:rsidRPr="003654A6">
        <w:t xml:space="preserve">Rest your fingers lightly on the buttons and do not press them hard. </w:t>
      </w:r>
    </w:p>
    <w:p w14:paraId="321A9C67" w14:textId="5AED0E01" w:rsidR="003654A6" w:rsidRDefault="003654A6" w:rsidP="003654A6">
      <w:pPr>
        <w:pStyle w:val="BodyText"/>
        <w:rPr>
          <w:b/>
          <w:bCs/>
        </w:rPr>
      </w:pPr>
      <w:r>
        <w:rPr>
          <w:b/>
          <w:bCs/>
        </w:rPr>
        <w:t xml:space="preserve">Reading the Screen </w:t>
      </w:r>
    </w:p>
    <w:p w14:paraId="5E4E1279" w14:textId="77777777" w:rsidR="003654A6" w:rsidRPr="003654A6" w:rsidRDefault="003654A6" w:rsidP="003654A6">
      <w:pPr>
        <w:pStyle w:val="ListBullet"/>
      </w:pPr>
      <w:r w:rsidRPr="003654A6">
        <w:t xml:space="preserve">Adjust the brightness and contrast controls on the screen to suit lighting conditions in the room. </w:t>
      </w:r>
    </w:p>
    <w:p w14:paraId="74278B6A" w14:textId="77777777" w:rsidR="003654A6" w:rsidRPr="003654A6" w:rsidRDefault="003654A6" w:rsidP="003654A6">
      <w:pPr>
        <w:pStyle w:val="ListBullet"/>
      </w:pPr>
      <w:r w:rsidRPr="003654A6">
        <w:t xml:space="preserve">Make sure the screen surface is clean. </w:t>
      </w:r>
    </w:p>
    <w:p w14:paraId="2C1C4B15" w14:textId="77777777" w:rsidR="003654A6" w:rsidRPr="003654A6" w:rsidRDefault="003654A6" w:rsidP="003654A6">
      <w:pPr>
        <w:pStyle w:val="ListBullet"/>
      </w:pPr>
      <w:r w:rsidRPr="003654A6">
        <w:t>In setting up software, choose options giving text that is large enough to read easily on your screen.</w:t>
      </w:r>
    </w:p>
    <w:p w14:paraId="54793BEB" w14:textId="77777777" w:rsidR="003654A6" w:rsidRPr="003654A6" w:rsidRDefault="003654A6" w:rsidP="003654A6">
      <w:pPr>
        <w:pStyle w:val="ListBullet"/>
      </w:pPr>
      <w:r w:rsidRPr="003654A6">
        <w:lastRenderedPageBreak/>
        <w:t xml:space="preserve">When you are sitting in a normal, comfortable working position. Select colours that are easy on the eye (avoid red text on a blue background, or vice-versa). </w:t>
      </w:r>
    </w:p>
    <w:p w14:paraId="49FC97AA" w14:textId="77777777" w:rsidR="003654A6" w:rsidRPr="003654A6" w:rsidRDefault="003654A6" w:rsidP="003654A6">
      <w:pPr>
        <w:pStyle w:val="ListBullet"/>
      </w:pPr>
      <w:r w:rsidRPr="003654A6">
        <w:t>Individual characters on the screen should be sharply focused and should not flicker or move. If they do, the DSE may need servicing or adjusting.</w:t>
      </w:r>
    </w:p>
    <w:p w14:paraId="7A5320CF" w14:textId="77777777" w:rsidR="003654A6" w:rsidRDefault="003654A6" w:rsidP="003654A6">
      <w:pPr>
        <w:pStyle w:val="ListBullet"/>
      </w:pPr>
      <w:r w:rsidRPr="003654A6">
        <w:t>Reposition equipment to ensure that sources of light (e.g., windows and other openings) do not cause glare; adjust window coverings to reduce the quantity of light when necessary.</w:t>
      </w:r>
    </w:p>
    <w:p w14:paraId="1E1A7A19" w14:textId="054B8C7A" w:rsidR="003654A6" w:rsidRPr="003654A6" w:rsidRDefault="003654A6" w:rsidP="003654A6">
      <w:pPr>
        <w:pStyle w:val="BodyText"/>
        <w:rPr>
          <w:b/>
          <w:bCs/>
        </w:rPr>
      </w:pPr>
      <w:r w:rsidRPr="003654A6">
        <w:rPr>
          <w:b/>
          <w:bCs/>
        </w:rPr>
        <w:t xml:space="preserve">Changes in Activity </w:t>
      </w:r>
    </w:p>
    <w:p w14:paraId="65E0B940" w14:textId="77777777" w:rsidR="003654A6" w:rsidRPr="003654A6" w:rsidRDefault="003654A6" w:rsidP="003654A6">
      <w:pPr>
        <w:pStyle w:val="BodyText"/>
      </w:pPr>
      <w:r w:rsidRPr="003654A6">
        <w:t xml:space="preserve">Breaking up long spells of DSE work helps prevent fatigue, eye strain, upper limb problems and backache. As the employer you need to plan, so users can interrupt prolonged use of DSE with changes of activity. Organised or scheduled rest breaks may sometimes be a solution. </w:t>
      </w:r>
    </w:p>
    <w:p w14:paraId="374DCC23" w14:textId="77777777" w:rsidR="003654A6" w:rsidRPr="003654A6" w:rsidRDefault="003654A6" w:rsidP="003654A6">
      <w:pPr>
        <w:pStyle w:val="BodyText"/>
      </w:pPr>
      <w:r w:rsidRPr="003654A6">
        <w:t>The following may help users:</w:t>
      </w:r>
    </w:p>
    <w:p w14:paraId="2CB76A5C" w14:textId="77777777" w:rsidR="003654A6" w:rsidRPr="003654A6" w:rsidRDefault="003654A6" w:rsidP="003654A6">
      <w:pPr>
        <w:pStyle w:val="ListBullet"/>
      </w:pPr>
      <w:r w:rsidRPr="003654A6">
        <w:t>Stretch and change position.</w:t>
      </w:r>
    </w:p>
    <w:p w14:paraId="137819BA" w14:textId="77777777" w:rsidR="003654A6" w:rsidRPr="003654A6" w:rsidRDefault="003654A6" w:rsidP="003654A6">
      <w:pPr>
        <w:pStyle w:val="ListBullet"/>
      </w:pPr>
      <w:r w:rsidRPr="003654A6">
        <w:t>Look into the distance from time to time, and blink often.</w:t>
      </w:r>
    </w:p>
    <w:p w14:paraId="017FA0EF" w14:textId="77777777" w:rsidR="003654A6" w:rsidRPr="003654A6" w:rsidRDefault="003654A6" w:rsidP="003654A6">
      <w:pPr>
        <w:pStyle w:val="ListBullet"/>
      </w:pPr>
      <w:r w:rsidRPr="003654A6">
        <w:t>Change activity before users get tired, rather than to recover.</w:t>
      </w:r>
    </w:p>
    <w:p w14:paraId="184D9252" w14:textId="77777777" w:rsidR="003654A6" w:rsidRPr="003654A6" w:rsidRDefault="003654A6" w:rsidP="003654A6">
      <w:pPr>
        <w:pStyle w:val="ListBullet"/>
      </w:pPr>
      <w:r w:rsidRPr="003654A6">
        <w:t>Short, frequent breaks are better than longer, infrequent ones.</w:t>
      </w:r>
    </w:p>
    <w:p w14:paraId="72F30EAE" w14:textId="77777777" w:rsidR="003654A6" w:rsidRPr="003654A6" w:rsidRDefault="003654A6" w:rsidP="003654A6">
      <w:pPr>
        <w:pStyle w:val="ListBullet"/>
      </w:pPr>
      <w:r w:rsidRPr="003654A6">
        <w:t xml:space="preserve">Timing and length of changes in activity or breaks for DSE use are not set down in law and arrangements will vary depending on a particular situation. </w:t>
      </w:r>
    </w:p>
    <w:p w14:paraId="3F608B24" w14:textId="35093DED" w:rsidR="003654A6" w:rsidRPr="003654A6" w:rsidRDefault="003654A6" w:rsidP="003654A6">
      <w:pPr>
        <w:pStyle w:val="BodyText"/>
        <w:rPr>
          <w:b/>
          <w:bCs/>
        </w:rPr>
      </w:pPr>
      <w:r w:rsidRPr="003654A6">
        <w:rPr>
          <w:b/>
          <w:bCs/>
        </w:rPr>
        <w:t xml:space="preserve">Environment </w:t>
      </w:r>
    </w:p>
    <w:p w14:paraId="6B5CEA6A" w14:textId="77777777" w:rsidR="003654A6" w:rsidRPr="001F7A59" w:rsidRDefault="003654A6" w:rsidP="001F7A59">
      <w:pPr>
        <w:pStyle w:val="ListBullet"/>
      </w:pPr>
      <w:r w:rsidRPr="00DB2ECA">
        <w:rPr>
          <w:rFonts w:cs="Arial"/>
          <w:sz w:val="22"/>
        </w:rPr>
        <w:t xml:space="preserve">Temperature, humidity, and noise should be regulated to provide satisfactory working conditions; </w:t>
      </w:r>
      <w:r w:rsidRPr="001F7A59">
        <w:t>any issues associated with these should be discussed with Managers to highlight specific issues or concerns.</w:t>
      </w:r>
    </w:p>
    <w:p w14:paraId="73F228F3" w14:textId="57A37A53" w:rsidR="001F7A59" w:rsidRDefault="003654A6" w:rsidP="00316088">
      <w:pPr>
        <w:pStyle w:val="ListBullet"/>
      </w:pPr>
      <w:r w:rsidRPr="001F7A59">
        <w:t xml:space="preserve">Managers will then liaise with appropriate Facilities, Corporate Fire, Health, and Safety Team as appropriate to identify and implement solutions if reasonably </w:t>
      </w:r>
      <w:r w:rsidR="001F7A59" w:rsidRPr="001F7A59">
        <w:t>practicable.</w:t>
      </w:r>
    </w:p>
    <w:p w14:paraId="3C7F7B9B" w14:textId="77777777" w:rsidR="00316088" w:rsidRDefault="00316088" w:rsidP="00316088">
      <w:pPr>
        <w:pStyle w:val="ListBullet"/>
        <w:numPr>
          <w:ilvl w:val="0"/>
          <w:numId w:val="0"/>
        </w:numPr>
        <w:ind w:left="360" w:hanging="360"/>
      </w:pPr>
    </w:p>
    <w:p w14:paraId="36906905" w14:textId="77777777" w:rsidR="00316088" w:rsidRDefault="00316088" w:rsidP="00316088">
      <w:pPr>
        <w:pStyle w:val="ListBullet"/>
        <w:numPr>
          <w:ilvl w:val="0"/>
          <w:numId w:val="0"/>
        </w:numPr>
        <w:ind w:left="360" w:hanging="360"/>
      </w:pPr>
    </w:p>
    <w:p w14:paraId="3CC01DB8" w14:textId="77777777" w:rsidR="00316088" w:rsidRDefault="00316088" w:rsidP="00316088">
      <w:pPr>
        <w:pStyle w:val="ListBullet"/>
        <w:numPr>
          <w:ilvl w:val="0"/>
          <w:numId w:val="0"/>
        </w:numPr>
        <w:ind w:left="360" w:hanging="360"/>
      </w:pPr>
    </w:p>
    <w:p w14:paraId="2423CBFD" w14:textId="77777777" w:rsidR="00316088" w:rsidRDefault="00316088" w:rsidP="00316088">
      <w:pPr>
        <w:pStyle w:val="ListBullet"/>
        <w:numPr>
          <w:ilvl w:val="0"/>
          <w:numId w:val="0"/>
        </w:numPr>
        <w:ind w:left="360" w:hanging="360"/>
      </w:pPr>
    </w:p>
    <w:p w14:paraId="4638606C" w14:textId="77777777" w:rsidR="00316088" w:rsidRDefault="00316088" w:rsidP="00316088">
      <w:pPr>
        <w:pStyle w:val="ListBullet"/>
        <w:numPr>
          <w:ilvl w:val="0"/>
          <w:numId w:val="0"/>
        </w:numPr>
        <w:ind w:left="360" w:hanging="360"/>
      </w:pPr>
    </w:p>
    <w:p w14:paraId="27AA71D5" w14:textId="77777777" w:rsidR="00316088" w:rsidRDefault="00316088" w:rsidP="00316088">
      <w:pPr>
        <w:pStyle w:val="ListBullet"/>
        <w:numPr>
          <w:ilvl w:val="0"/>
          <w:numId w:val="0"/>
        </w:numPr>
        <w:ind w:left="360" w:hanging="360"/>
      </w:pPr>
    </w:p>
    <w:p w14:paraId="64B4AF9B" w14:textId="77777777" w:rsidR="00316088" w:rsidRDefault="00316088" w:rsidP="00316088">
      <w:pPr>
        <w:pStyle w:val="ListBullet"/>
        <w:numPr>
          <w:ilvl w:val="0"/>
          <w:numId w:val="0"/>
        </w:numPr>
        <w:ind w:left="360" w:hanging="360"/>
      </w:pPr>
    </w:p>
    <w:p w14:paraId="5D32CC13" w14:textId="77777777" w:rsidR="00316088" w:rsidRDefault="00316088" w:rsidP="00316088">
      <w:pPr>
        <w:pStyle w:val="ListBullet"/>
        <w:numPr>
          <w:ilvl w:val="0"/>
          <w:numId w:val="0"/>
        </w:numPr>
        <w:ind w:left="360" w:hanging="360"/>
      </w:pPr>
    </w:p>
    <w:p w14:paraId="28289C48" w14:textId="77777777" w:rsidR="00316088" w:rsidRDefault="00316088" w:rsidP="00316088">
      <w:pPr>
        <w:pStyle w:val="ListBullet"/>
        <w:numPr>
          <w:ilvl w:val="0"/>
          <w:numId w:val="0"/>
        </w:numPr>
        <w:ind w:left="360" w:hanging="360"/>
      </w:pPr>
    </w:p>
    <w:p w14:paraId="5BEA283B" w14:textId="77777777" w:rsidR="00316088" w:rsidRDefault="00316088" w:rsidP="00316088">
      <w:pPr>
        <w:pStyle w:val="ListBullet"/>
        <w:numPr>
          <w:ilvl w:val="0"/>
          <w:numId w:val="0"/>
        </w:numPr>
        <w:ind w:left="360" w:hanging="360"/>
      </w:pPr>
    </w:p>
    <w:p w14:paraId="0FCD7F81" w14:textId="77777777" w:rsidR="00316088" w:rsidRDefault="00316088" w:rsidP="00316088">
      <w:pPr>
        <w:pStyle w:val="ListBullet"/>
        <w:numPr>
          <w:ilvl w:val="0"/>
          <w:numId w:val="0"/>
        </w:numPr>
        <w:ind w:left="360" w:hanging="360"/>
      </w:pPr>
    </w:p>
    <w:p w14:paraId="1A69B35A" w14:textId="77777777" w:rsidR="00316088" w:rsidRDefault="00316088" w:rsidP="00316088">
      <w:pPr>
        <w:pStyle w:val="ListBullet"/>
        <w:numPr>
          <w:ilvl w:val="0"/>
          <w:numId w:val="0"/>
        </w:numPr>
        <w:ind w:left="360" w:hanging="360"/>
      </w:pPr>
    </w:p>
    <w:p w14:paraId="2D9E5955" w14:textId="77777777" w:rsidR="00316088" w:rsidRDefault="00316088" w:rsidP="00316088">
      <w:pPr>
        <w:pStyle w:val="ListBullet"/>
        <w:numPr>
          <w:ilvl w:val="0"/>
          <w:numId w:val="0"/>
        </w:numPr>
        <w:ind w:left="360" w:hanging="360"/>
      </w:pPr>
    </w:p>
    <w:p w14:paraId="5FC3A362" w14:textId="77777777" w:rsidR="00316088" w:rsidRDefault="00316088" w:rsidP="00316088">
      <w:pPr>
        <w:pStyle w:val="ListBullet"/>
        <w:numPr>
          <w:ilvl w:val="0"/>
          <w:numId w:val="0"/>
        </w:numPr>
        <w:ind w:left="360" w:hanging="360"/>
      </w:pPr>
    </w:p>
    <w:p w14:paraId="4C76E665" w14:textId="77777777" w:rsidR="00316088" w:rsidRDefault="00316088" w:rsidP="00316088">
      <w:pPr>
        <w:pStyle w:val="ListBullet"/>
        <w:numPr>
          <w:ilvl w:val="0"/>
          <w:numId w:val="0"/>
        </w:numPr>
        <w:ind w:left="360" w:hanging="360"/>
      </w:pPr>
    </w:p>
    <w:p w14:paraId="09FB7121" w14:textId="77777777" w:rsidR="00316088" w:rsidRDefault="00316088" w:rsidP="00316088">
      <w:pPr>
        <w:pStyle w:val="ListBullet"/>
        <w:numPr>
          <w:ilvl w:val="0"/>
          <w:numId w:val="0"/>
        </w:numPr>
        <w:ind w:left="360" w:hanging="360"/>
      </w:pPr>
    </w:p>
    <w:p w14:paraId="579648A0" w14:textId="77777777" w:rsidR="00316088" w:rsidRDefault="00316088" w:rsidP="00316088">
      <w:pPr>
        <w:pStyle w:val="ListBullet"/>
        <w:numPr>
          <w:ilvl w:val="0"/>
          <w:numId w:val="0"/>
        </w:numPr>
        <w:ind w:left="360" w:hanging="360"/>
      </w:pPr>
    </w:p>
    <w:p w14:paraId="5FB1BCE6" w14:textId="77777777" w:rsidR="00316088" w:rsidRDefault="00316088" w:rsidP="00316088">
      <w:pPr>
        <w:pStyle w:val="ListBullet"/>
        <w:numPr>
          <w:ilvl w:val="0"/>
          <w:numId w:val="0"/>
        </w:numPr>
        <w:ind w:left="360" w:hanging="360"/>
      </w:pPr>
    </w:p>
    <w:p w14:paraId="24064B30" w14:textId="77777777" w:rsidR="00316088" w:rsidRDefault="00316088" w:rsidP="00316088">
      <w:pPr>
        <w:pStyle w:val="ListBullet"/>
        <w:numPr>
          <w:ilvl w:val="0"/>
          <w:numId w:val="0"/>
        </w:numPr>
        <w:ind w:left="360" w:hanging="360"/>
      </w:pPr>
    </w:p>
    <w:p w14:paraId="4A57C53F" w14:textId="77777777" w:rsidR="00316088" w:rsidRDefault="00316088" w:rsidP="00316088">
      <w:pPr>
        <w:pStyle w:val="ListBullet"/>
        <w:numPr>
          <w:ilvl w:val="0"/>
          <w:numId w:val="0"/>
        </w:numPr>
        <w:ind w:left="360" w:hanging="360"/>
      </w:pPr>
    </w:p>
    <w:p w14:paraId="67AF3F35" w14:textId="77777777" w:rsidR="00316088" w:rsidRDefault="00316088" w:rsidP="00316088">
      <w:pPr>
        <w:pStyle w:val="ListBullet"/>
        <w:numPr>
          <w:ilvl w:val="0"/>
          <w:numId w:val="0"/>
        </w:numPr>
        <w:ind w:left="360" w:hanging="360"/>
      </w:pPr>
    </w:p>
    <w:p w14:paraId="539957DB" w14:textId="77777777" w:rsidR="00316088" w:rsidRDefault="00316088" w:rsidP="00316088">
      <w:pPr>
        <w:pStyle w:val="ListBullet"/>
        <w:numPr>
          <w:ilvl w:val="0"/>
          <w:numId w:val="0"/>
        </w:numPr>
        <w:ind w:left="360" w:hanging="360"/>
      </w:pPr>
    </w:p>
    <w:p w14:paraId="03200F75" w14:textId="77777777" w:rsidR="00316088" w:rsidRDefault="00316088" w:rsidP="00316088">
      <w:pPr>
        <w:pStyle w:val="ListBullet"/>
        <w:numPr>
          <w:ilvl w:val="0"/>
          <w:numId w:val="0"/>
        </w:numPr>
        <w:ind w:left="360" w:hanging="360"/>
      </w:pPr>
    </w:p>
    <w:p w14:paraId="3FBC010D" w14:textId="77777777" w:rsidR="00316088" w:rsidRDefault="00316088" w:rsidP="00316088">
      <w:pPr>
        <w:pStyle w:val="ListBullet"/>
        <w:numPr>
          <w:ilvl w:val="0"/>
          <w:numId w:val="0"/>
        </w:numPr>
        <w:ind w:left="360" w:hanging="360"/>
      </w:pPr>
    </w:p>
    <w:p w14:paraId="382FCA78" w14:textId="77777777" w:rsidR="00316088" w:rsidRDefault="00316088" w:rsidP="00316088">
      <w:pPr>
        <w:pStyle w:val="ListBullet"/>
        <w:numPr>
          <w:ilvl w:val="0"/>
          <w:numId w:val="0"/>
        </w:numPr>
        <w:ind w:left="360" w:hanging="360"/>
      </w:pPr>
    </w:p>
    <w:p w14:paraId="220CCC3A" w14:textId="77777777" w:rsidR="00316088" w:rsidRDefault="00316088" w:rsidP="00316088">
      <w:pPr>
        <w:pStyle w:val="ListBullet"/>
        <w:numPr>
          <w:ilvl w:val="0"/>
          <w:numId w:val="0"/>
        </w:numPr>
        <w:ind w:left="360" w:hanging="360"/>
      </w:pPr>
    </w:p>
    <w:p w14:paraId="02EE3AF2" w14:textId="77777777" w:rsidR="00316088" w:rsidRDefault="00316088" w:rsidP="00316088">
      <w:pPr>
        <w:pStyle w:val="ListBullet"/>
        <w:numPr>
          <w:ilvl w:val="0"/>
          <w:numId w:val="0"/>
        </w:numPr>
        <w:ind w:left="360" w:hanging="360"/>
      </w:pPr>
    </w:p>
    <w:p w14:paraId="369AB9EA" w14:textId="77777777" w:rsidR="00316088" w:rsidRDefault="00316088" w:rsidP="00316088">
      <w:pPr>
        <w:pStyle w:val="ListBullet"/>
        <w:numPr>
          <w:ilvl w:val="0"/>
          <w:numId w:val="0"/>
        </w:numPr>
        <w:ind w:left="360" w:hanging="360"/>
      </w:pPr>
    </w:p>
    <w:p w14:paraId="37EE6E2D" w14:textId="77777777" w:rsidR="00316088" w:rsidRDefault="00316088" w:rsidP="00316088">
      <w:pPr>
        <w:pStyle w:val="ListBullet"/>
        <w:numPr>
          <w:ilvl w:val="0"/>
          <w:numId w:val="0"/>
        </w:numPr>
        <w:ind w:left="360" w:hanging="360"/>
      </w:pPr>
    </w:p>
    <w:p w14:paraId="5BF906F2" w14:textId="77777777" w:rsidR="00316088" w:rsidRDefault="00316088" w:rsidP="00316088">
      <w:pPr>
        <w:pStyle w:val="ListBullet"/>
        <w:numPr>
          <w:ilvl w:val="0"/>
          <w:numId w:val="0"/>
        </w:numPr>
        <w:ind w:left="360" w:hanging="360"/>
      </w:pPr>
    </w:p>
    <w:p w14:paraId="5308FCD7" w14:textId="77777777" w:rsidR="00316088" w:rsidRDefault="00316088" w:rsidP="00316088">
      <w:pPr>
        <w:pStyle w:val="ListBullet"/>
        <w:numPr>
          <w:ilvl w:val="0"/>
          <w:numId w:val="0"/>
        </w:numPr>
        <w:ind w:left="360" w:hanging="360"/>
      </w:pPr>
    </w:p>
    <w:p w14:paraId="05D0C054" w14:textId="77777777" w:rsidR="00316088" w:rsidRDefault="00316088" w:rsidP="00316088">
      <w:pPr>
        <w:pStyle w:val="ListBullet"/>
        <w:numPr>
          <w:ilvl w:val="0"/>
          <w:numId w:val="0"/>
        </w:numPr>
        <w:ind w:left="360" w:hanging="360"/>
      </w:pPr>
    </w:p>
    <w:p w14:paraId="2204B0C7" w14:textId="77777777" w:rsidR="00316088" w:rsidRDefault="00316088" w:rsidP="00316088">
      <w:pPr>
        <w:pStyle w:val="ListBullet"/>
        <w:numPr>
          <w:ilvl w:val="0"/>
          <w:numId w:val="0"/>
        </w:numPr>
        <w:ind w:left="360" w:hanging="360"/>
      </w:pPr>
    </w:p>
    <w:p w14:paraId="45D90E27" w14:textId="77777777" w:rsidR="00316088" w:rsidRDefault="00316088" w:rsidP="00316088">
      <w:pPr>
        <w:pStyle w:val="ListBullet"/>
        <w:numPr>
          <w:ilvl w:val="0"/>
          <w:numId w:val="0"/>
        </w:numPr>
        <w:ind w:left="360" w:hanging="360"/>
      </w:pPr>
    </w:p>
    <w:p w14:paraId="4F7A0B16" w14:textId="590F6E25" w:rsidR="00316088" w:rsidRDefault="00316088" w:rsidP="00316088">
      <w:pPr>
        <w:pStyle w:val="Heading1"/>
      </w:pPr>
      <w:bookmarkStart w:id="54" w:name="_Toc158717139"/>
      <w:bookmarkStart w:id="55" w:name="_Toc158717457"/>
      <w:r>
        <w:t>Appendix 2</w:t>
      </w:r>
      <w:bookmarkEnd w:id="54"/>
      <w:bookmarkEnd w:id="55"/>
    </w:p>
    <w:p w14:paraId="76FC3FEA" w14:textId="1CCA15C7" w:rsidR="00316088" w:rsidRPr="0031154C" w:rsidRDefault="00316088" w:rsidP="0031154C">
      <w:pPr>
        <w:pStyle w:val="BodyText"/>
        <w:rPr>
          <w:b/>
          <w:bCs/>
        </w:rPr>
      </w:pPr>
      <w:r w:rsidRPr="0031154C">
        <w:rPr>
          <w:b/>
          <w:bCs/>
        </w:rPr>
        <w:t xml:space="preserve">Use of laptops </w:t>
      </w:r>
    </w:p>
    <w:p w14:paraId="2CA2A2D9" w14:textId="77777777" w:rsidR="00316088" w:rsidRPr="00316088" w:rsidRDefault="00316088" w:rsidP="0031154C">
      <w:pPr>
        <w:pStyle w:val="EmphasisText"/>
      </w:pPr>
      <w:r w:rsidRPr="00316088">
        <w:t>Note:  This is additional to Appendix 1, which should be initially progressed for all user / operators.</w:t>
      </w:r>
    </w:p>
    <w:p w14:paraId="30C17D17" w14:textId="77777777" w:rsidR="00316088" w:rsidRPr="00316088" w:rsidRDefault="00316088" w:rsidP="00953F38">
      <w:pPr>
        <w:pStyle w:val="ListBullet2"/>
        <w:numPr>
          <w:ilvl w:val="0"/>
          <w:numId w:val="5"/>
        </w:numPr>
      </w:pPr>
      <w:r w:rsidRPr="00316088">
        <w:t>If using a laptop without peripherals (keyboard, mouse, laptop stand) for a prolonged period of time, this should be limited to no more than 1 hour at a time, taking regular breaks as appropriate from the laptop screen during this period.</w:t>
      </w:r>
    </w:p>
    <w:p w14:paraId="09E8AB02" w14:textId="77777777" w:rsidR="00316088" w:rsidRPr="00316088" w:rsidRDefault="00316088" w:rsidP="00953F38">
      <w:pPr>
        <w:pStyle w:val="ListBullet2"/>
        <w:numPr>
          <w:ilvl w:val="0"/>
          <w:numId w:val="5"/>
        </w:numPr>
      </w:pPr>
      <w:r w:rsidRPr="00316088">
        <w:t xml:space="preserve">Where laptops are used for prolonged periods of time within an office or hub environment, users should connect to a freestanding monitor or similar set-up and use a separate keyboard and mouse.  </w:t>
      </w:r>
    </w:p>
    <w:p w14:paraId="3DF5226D" w14:textId="77777777" w:rsidR="00316088" w:rsidRPr="00316088" w:rsidRDefault="00316088" w:rsidP="00953F38">
      <w:pPr>
        <w:pStyle w:val="ListBullet2"/>
        <w:numPr>
          <w:ilvl w:val="0"/>
          <w:numId w:val="5"/>
        </w:numPr>
      </w:pPr>
      <w:r w:rsidRPr="00316088">
        <w:t>Alternatively, the laptop can be mounted upon a laptop stand, with the use of separate keyboard and mouse which are available via IT.</w:t>
      </w:r>
    </w:p>
    <w:p w14:paraId="00367A01" w14:textId="37D1B7A9" w:rsidR="00316088" w:rsidRPr="00316088" w:rsidRDefault="00316088" w:rsidP="00953F38">
      <w:pPr>
        <w:pStyle w:val="ListBullet2"/>
        <w:numPr>
          <w:ilvl w:val="0"/>
          <w:numId w:val="5"/>
        </w:numPr>
      </w:pPr>
      <w:r w:rsidRPr="00316088">
        <w:t xml:space="preserve">Ensure that employees who use laptops are encouraged to report any symptoms of discomfort that may be associated with their use of portable computers as soon as they arise and take regular breaks from computer </w:t>
      </w:r>
      <w:r w:rsidR="0031154C" w:rsidRPr="00316088">
        <w:t>use.</w:t>
      </w:r>
    </w:p>
    <w:p w14:paraId="44F33A00" w14:textId="77777777" w:rsidR="00316088" w:rsidRPr="00316088" w:rsidRDefault="00316088" w:rsidP="00953F38">
      <w:pPr>
        <w:pStyle w:val="ListBullet2"/>
        <w:numPr>
          <w:ilvl w:val="0"/>
          <w:numId w:val="5"/>
        </w:numPr>
      </w:pPr>
      <w:r w:rsidRPr="00316088">
        <w:t xml:space="preserve">Ensure as large and clear a screen as possible (e.g., 14" diagonal or more is used). </w:t>
      </w:r>
    </w:p>
    <w:p w14:paraId="4204F056" w14:textId="134016CD" w:rsidR="00316088" w:rsidRPr="00316088" w:rsidRDefault="00316088" w:rsidP="00953F38">
      <w:pPr>
        <w:pStyle w:val="ListBullet2"/>
        <w:numPr>
          <w:ilvl w:val="0"/>
          <w:numId w:val="5"/>
        </w:numPr>
      </w:pPr>
      <w:r w:rsidRPr="00316088">
        <w:t xml:space="preserve">Use touch pad, rollerball, or external mouse rather than a track point </w:t>
      </w:r>
      <w:r w:rsidR="0031154C" w:rsidRPr="00316088">
        <w:t>device.</w:t>
      </w:r>
      <w:r w:rsidRPr="00316088">
        <w:t xml:space="preserve"> </w:t>
      </w:r>
    </w:p>
    <w:p w14:paraId="5284EF67" w14:textId="77777777" w:rsidR="00316088" w:rsidRPr="00316088" w:rsidRDefault="00316088" w:rsidP="00953F38">
      <w:pPr>
        <w:pStyle w:val="ListBullet2"/>
        <w:numPr>
          <w:ilvl w:val="0"/>
          <w:numId w:val="5"/>
        </w:numPr>
      </w:pPr>
      <w:r w:rsidRPr="00316088">
        <w:t xml:space="preserve">Consider wrist pads between keyboard and front edge of laptop (for short term use). </w:t>
      </w:r>
    </w:p>
    <w:p w14:paraId="50E12C4A" w14:textId="77777777" w:rsidR="00316088" w:rsidRPr="00316088" w:rsidRDefault="00316088" w:rsidP="00953F38">
      <w:pPr>
        <w:pStyle w:val="ListBullet2"/>
        <w:numPr>
          <w:ilvl w:val="0"/>
          <w:numId w:val="5"/>
        </w:numPr>
      </w:pPr>
      <w:r w:rsidRPr="00316088">
        <w:t xml:space="preserve">Ensure when sourcing new laptops that as low a weight as possible (e.g., 3kg or less) for portable computer and accessories. </w:t>
      </w:r>
    </w:p>
    <w:p w14:paraId="696D05F8" w14:textId="77777777" w:rsidR="00316088" w:rsidRPr="00316088" w:rsidRDefault="00316088" w:rsidP="00953F38">
      <w:pPr>
        <w:pStyle w:val="ListBullet2"/>
        <w:numPr>
          <w:ilvl w:val="0"/>
          <w:numId w:val="5"/>
        </w:numPr>
      </w:pPr>
      <w:r w:rsidRPr="00316088">
        <w:lastRenderedPageBreak/>
        <w:t>Source lightweight non-manufacturer branded carrying case with handle and shoulder straps or wheeled carry cases to reduce associated manual handling risks.</w:t>
      </w:r>
    </w:p>
    <w:p w14:paraId="168AFB4D" w14:textId="77777777" w:rsidR="00316088" w:rsidRPr="00316088" w:rsidRDefault="00316088" w:rsidP="00953F38">
      <w:pPr>
        <w:pStyle w:val="ListBullet2"/>
        <w:numPr>
          <w:ilvl w:val="0"/>
          <w:numId w:val="5"/>
        </w:numPr>
      </w:pPr>
      <w:r w:rsidRPr="00316088">
        <w:t xml:space="preserve">Utilise tilt adjustable keyboards and ensure facility for attaching external mouse and numeric keypad. </w:t>
      </w:r>
    </w:p>
    <w:p w14:paraId="6CD76447" w14:textId="76AE6788" w:rsidR="00825A09" w:rsidRDefault="00316088" w:rsidP="00953F38">
      <w:pPr>
        <w:pStyle w:val="ListBullet2"/>
        <w:numPr>
          <w:ilvl w:val="0"/>
          <w:numId w:val="5"/>
        </w:numPr>
      </w:pPr>
      <w:r w:rsidRPr="00316088">
        <w:t>If required, request advice from the Corporate Fire, Health, and Safety Team regarding setting up DSE and associated equipment.</w:t>
      </w:r>
    </w:p>
    <w:p w14:paraId="5B4CC5AE" w14:textId="77777777" w:rsidR="006178EF" w:rsidRDefault="006178EF">
      <w:pPr>
        <w:spacing w:after="160" w:line="259" w:lineRule="auto"/>
      </w:pPr>
      <w:r>
        <w:br w:type="page"/>
      </w:r>
    </w:p>
    <w:p w14:paraId="23931A45" w14:textId="5E786B59" w:rsidR="002659E4" w:rsidRDefault="00EB13C9" w:rsidP="00EB13C9">
      <w:pPr>
        <w:pStyle w:val="Heading1"/>
      </w:pPr>
      <w:bookmarkStart w:id="56" w:name="_Toc158717140"/>
      <w:bookmarkStart w:id="57" w:name="_Toc158717458"/>
      <w:r>
        <w:lastRenderedPageBreak/>
        <w:t>Appendix 3</w:t>
      </w:r>
      <w:bookmarkEnd w:id="56"/>
      <w:bookmarkEnd w:id="57"/>
      <w:r>
        <w:t xml:space="preserve"> </w:t>
      </w:r>
    </w:p>
    <w:p w14:paraId="635F322D" w14:textId="323DBCFF" w:rsidR="00825A09" w:rsidRPr="00825A09" w:rsidRDefault="0064557C" w:rsidP="00825A09">
      <w:pPr>
        <w:pStyle w:val="BodyText"/>
      </w:pPr>
      <w:r>
        <w:rPr>
          <w:noProof/>
        </w:rPr>
        <w:drawing>
          <wp:inline distT="0" distB="0" distL="0" distR="0" wp14:anchorId="05885E94" wp14:editId="6A4C3A73">
            <wp:extent cx="6120130" cy="3966665"/>
            <wp:effectExtent l="0" t="0" r="0" b="0"/>
            <wp:docPr id="2" name="Picture 1" descr="Working Safely with DSE - How to Resolve Issues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Working Safely with DSE - How to Resolve Issues Diagram"/>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120130" cy="3966665"/>
                    </a:xfrm>
                    <a:prstGeom prst="rect">
                      <a:avLst/>
                    </a:prstGeom>
                    <a:noFill/>
                    <a:ln>
                      <a:noFill/>
                    </a:ln>
                  </pic:spPr>
                </pic:pic>
              </a:graphicData>
            </a:graphic>
          </wp:inline>
        </w:drawing>
      </w:r>
    </w:p>
    <w:sectPr w:rsidR="00825A09" w:rsidRPr="00825A09" w:rsidSect="00F507D8">
      <w:headerReference w:type="default" r:id="rId15"/>
      <w:footerReference w:type="default" r:id="rId16"/>
      <w:headerReference w:type="first" r:id="rId17"/>
      <w:footerReference w:type="first" r:id="rId18"/>
      <w:pgSz w:w="11906" w:h="16838" w:code="9"/>
      <w:pgMar w:top="1134" w:right="1134" w:bottom="1134" w:left="1134"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46171D" w14:textId="77777777" w:rsidR="00A010D1" w:rsidRDefault="00A010D1" w:rsidP="00B91315">
      <w:pPr>
        <w:spacing w:after="0" w:line="240" w:lineRule="auto"/>
      </w:pPr>
      <w:r>
        <w:separator/>
      </w:r>
    </w:p>
  </w:endnote>
  <w:endnote w:type="continuationSeparator" w:id="0">
    <w:p w14:paraId="019558DC" w14:textId="77777777" w:rsidR="00A010D1" w:rsidRDefault="00A010D1" w:rsidP="00B913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01A70" w14:textId="77777777" w:rsidR="009A1CE1" w:rsidRDefault="00990242">
    <w:pPr>
      <w:pStyle w:val="Footer"/>
    </w:pPr>
    <w:r>
      <w:fldChar w:fldCharType="begin"/>
    </w:r>
    <w:r>
      <w:instrText xml:space="preserve"> PAGE   \* MERGEFORMAT </w:instrText>
    </w:r>
    <w:r>
      <w:fldChar w:fldCharType="separate"/>
    </w:r>
    <w:r w:rsidR="0028397F">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9A1AC" w14:textId="77777777" w:rsidR="002659E4" w:rsidRDefault="002659E4" w:rsidP="002659E4">
    <w:pPr>
      <w:pStyle w:val="Footer"/>
      <w:spacing w:before="8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D20D7" w14:textId="77777777" w:rsidR="00A010D1" w:rsidRDefault="00A010D1" w:rsidP="00B91315">
      <w:pPr>
        <w:spacing w:after="0" w:line="240" w:lineRule="auto"/>
      </w:pPr>
      <w:r>
        <w:separator/>
      </w:r>
    </w:p>
  </w:footnote>
  <w:footnote w:type="continuationSeparator" w:id="0">
    <w:p w14:paraId="0D6815DC" w14:textId="77777777" w:rsidR="00A010D1" w:rsidRDefault="00A010D1" w:rsidP="00B913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48CCA" w14:textId="58D4DB0E" w:rsidR="009A1CE1" w:rsidRPr="009A1CE1" w:rsidRDefault="005638BB" w:rsidP="009A1CE1">
    <w:pPr>
      <w:pStyle w:val="Header"/>
    </w:pPr>
    <w:r>
      <w:t xml:space="preserve">Display Screen Equipment (DSE) Guidance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BB646" w14:textId="77777777" w:rsidR="00F507D8" w:rsidRDefault="0028397F">
    <w:pPr>
      <w:pStyle w:val="Header"/>
    </w:pPr>
    <w:r w:rsidRPr="006D258B">
      <w:rPr>
        <w:noProof/>
      </w:rPr>
      <w:drawing>
        <wp:anchor distT="0" distB="0" distL="114300" distR="114300" simplePos="0" relativeHeight="251660288" behindDoc="1" locked="0" layoutInCell="0" allowOverlap="1" wp14:anchorId="120D1332" wp14:editId="0E4C21E7">
          <wp:simplePos x="0" y="0"/>
          <wp:positionH relativeFrom="page">
            <wp:posOffset>720090</wp:posOffset>
          </wp:positionH>
          <wp:positionV relativeFrom="page">
            <wp:posOffset>720090</wp:posOffset>
          </wp:positionV>
          <wp:extent cx="1331640" cy="1033920"/>
          <wp:effectExtent l="0" t="0" r="1905" b="0"/>
          <wp:wrapNone/>
          <wp:docPr id="377106773" name="Picture 37710677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31640" cy="10339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14:anchorId="736D81D4" wp14:editId="4B1AAA76">
          <wp:simplePos x="723900" y="361950"/>
          <wp:positionH relativeFrom="page">
            <wp:align>left</wp:align>
          </wp:positionH>
          <wp:positionV relativeFrom="page">
            <wp:align>top</wp:align>
          </wp:positionV>
          <wp:extent cx="7560360" cy="10692360"/>
          <wp:effectExtent l="0" t="0" r="2540" b="0"/>
          <wp:wrapNone/>
          <wp:docPr id="469871226" name="Picture 4698712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hogben\AppData\Local\Microsoft\Windows\INetCache\Content.Word\6.5394_MoJ_Brand refresh_covers_210319_RW-17.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60" cy="106923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C130F6F8"/>
    <w:lvl w:ilvl="0">
      <w:start w:val="1"/>
      <w:numFmt w:val="bullet"/>
      <w:pStyle w:val="ListBullet2"/>
      <w:lvlText w:val=""/>
      <w:lvlJc w:val="left"/>
      <w:pPr>
        <w:ind w:left="717" w:hanging="360"/>
      </w:pPr>
      <w:rPr>
        <w:rFonts w:ascii="Symbol" w:hAnsi="Symbol" w:hint="default"/>
        <w:color w:val="00B1EB"/>
      </w:rPr>
    </w:lvl>
  </w:abstractNum>
  <w:abstractNum w:abstractNumId="1" w15:restartNumberingAfterBreak="0">
    <w:nsid w:val="FFFFFF88"/>
    <w:multiLevelType w:val="singleLevel"/>
    <w:tmpl w:val="4CB2C802"/>
    <w:lvl w:ilvl="0">
      <w:start w:val="1"/>
      <w:numFmt w:val="decimal"/>
      <w:pStyle w:val="ListNumber"/>
      <w:lvlText w:val="%1."/>
      <w:lvlJc w:val="left"/>
      <w:pPr>
        <w:tabs>
          <w:tab w:val="num" w:pos="360"/>
        </w:tabs>
        <w:ind w:left="360" w:hanging="360"/>
      </w:pPr>
      <w:rPr>
        <w:rFonts w:hint="default"/>
      </w:rPr>
    </w:lvl>
  </w:abstractNum>
  <w:abstractNum w:abstractNumId="2" w15:restartNumberingAfterBreak="0">
    <w:nsid w:val="FFFFFF89"/>
    <w:multiLevelType w:val="singleLevel"/>
    <w:tmpl w:val="5CCC8D44"/>
    <w:lvl w:ilvl="0">
      <w:start w:val="1"/>
      <w:numFmt w:val="bullet"/>
      <w:pStyle w:val="ListBullet"/>
      <w:lvlText w:val=""/>
      <w:lvlJc w:val="left"/>
      <w:pPr>
        <w:ind w:left="360" w:hanging="360"/>
      </w:pPr>
      <w:rPr>
        <w:rFonts w:ascii="Symbol" w:hAnsi="Symbol" w:hint="default"/>
        <w:color w:val="1D609D"/>
      </w:rPr>
    </w:lvl>
  </w:abstractNum>
  <w:num w:numId="1" w16cid:durableId="2089501604">
    <w:abstractNumId w:val="2"/>
  </w:num>
  <w:num w:numId="2" w16cid:durableId="318770897">
    <w:abstractNumId w:val="0"/>
  </w:num>
  <w:num w:numId="3" w16cid:durableId="1642080996">
    <w:abstractNumId w:val="1"/>
  </w:num>
  <w:num w:numId="4" w16cid:durableId="1210923955">
    <w:abstractNumId w:val="2"/>
  </w:num>
  <w:num w:numId="5" w16cid:durableId="954756596">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317"/>
    <w:rsid w:val="00022442"/>
    <w:rsid w:val="00031B57"/>
    <w:rsid w:val="00044A2D"/>
    <w:rsid w:val="00090E40"/>
    <w:rsid w:val="000C325A"/>
    <w:rsid w:val="001563CF"/>
    <w:rsid w:val="00175D09"/>
    <w:rsid w:val="001A71CD"/>
    <w:rsid w:val="001F7A59"/>
    <w:rsid w:val="00240F37"/>
    <w:rsid w:val="002659E4"/>
    <w:rsid w:val="0028397F"/>
    <w:rsid w:val="00293CEB"/>
    <w:rsid w:val="002F075A"/>
    <w:rsid w:val="003014DA"/>
    <w:rsid w:val="0031154C"/>
    <w:rsid w:val="00316088"/>
    <w:rsid w:val="00327E81"/>
    <w:rsid w:val="003355F1"/>
    <w:rsid w:val="00362297"/>
    <w:rsid w:val="003654A6"/>
    <w:rsid w:val="003D27AC"/>
    <w:rsid w:val="00446DDB"/>
    <w:rsid w:val="00526855"/>
    <w:rsid w:val="00545B6C"/>
    <w:rsid w:val="005638BB"/>
    <w:rsid w:val="005649B5"/>
    <w:rsid w:val="00586E1A"/>
    <w:rsid w:val="005E51D0"/>
    <w:rsid w:val="005F746C"/>
    <w:rsid w:val="006178EF"/>
    <w:rsid w:val="0062433C"/>
    <w:rsid w:val="0064557C"/>
    <w:rsid w:val="006B3FF9"/>
    <w:rsid w:val="006C3A23"/>
    <w:rsid w:val="006D3898"/>
    <w:rsid w:val="007E4317"/>
    <w:rsid w:val="008114F6"/>
    <w:rsid w:val="00825A09"/>
    <w:rsid w:val="00871CDD"/>
    <w:rsid w:val="008B2C35"/>
    <w:rsid w:val="00916276"/>
    <w:rsid w:val="009179CD"/>
    <w:rsid w:val="00932F7F"/>
    <w:rsid w:val="00953F38"/>
    <w:rsid w:val="00980A7A"/>
    <w:rsid w:val="00990242"/>
    <w:rsid w:val="009A1CE1"/>
    <w:rsid w:val="009C4EFE"/>
    <w:rsid w:val="00A010D1"/>
    <w:rsid w:val="00AC6247"/>
    <w:rsid w:val="00AD05F3"/>
    <w:rsid w:val="00AD52C7"/>
    <w:rsid w:val="00AE4DF7"/>
    <w:rsid w:val="00B4736D"/>
    <w:rsid w:val="00B91315"/>
    <w:rsid w:val="00BA679C"/>
    <w:rsid w:val="00BC4DBC"/>
    <w:rsid w:val="00BF23EA"/>
    <w:rsid w:val="00C70527"/>
    <w:rsid w:val="00CD7E9C"/>
    <w:rsid w:val="00D43796"/>
    <w:rsid w:val="00D50660"/>
    <w:rsid w:val="00E4123E"/>
    <w:rsid w:val="00EB13C9"/>
    <w:rsid w:val="00F03A10"/>
    <w:rsid w:val="00F507D8"/>
    <w:rsid w:val="00F6533F"/>
    <w:rsid w:val="00F727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C02149"/>
  <w15:chartTrackingRefBased/>
  <w15:docId w15:val="{2845F8B7-B39A-4B40-B110-9BE5C7E3B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lsdException w:name="toc 2" w:uiPriority="39"/>
    <w:lsdException w:name="toc 3" w:semiHidden="1" w:uiPriority="39"/>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iPriority="3" w:qFormat="1"/>
    <w:lsdException w:name="annotation text" w:semiHidden="1" w:uiPriority="0"/>
    <w:lsdException w:name="header" w:uiPriority="8"/>
    <w:lsdException w:name="footer" w:uiPriority="8"/>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uiPriority="3"/>
    <w:lsdException w:name="annotation reference" w:semiHidden="1"/>
    <w:lsdException w:name="line number" w:semiHidden="1"/>
    <w:lsdException w:name="page number" w:semiHidden="1" w:uiPriority="8"/>
    <w:lsdException w:name="endnote reference" w:semiHidden="1" w:uiPriority="3"/>
    <w:lsdException w:name="endnote text" w:semiHidden="1" w:uiPriority="3"/>
    <w:lsdException w:name="table of authorities" w:semiHidden="1"/>
    <w:lsdException w:name="macro" w:semiHidden="1"/>
    <w:lsdException w:name="toa heading" w:semiHidden="1"/>
    <w:lsdException w:name="List" w:semiHidden="1"/>
    <w:lsdException w:name="List Bullet" w:uiPriority="2" w:qFormat="1"/>
    <w:lsdException w:name="List Number" w:uiPriority="1" w:qFormat="1"/>
    <w:lsdException w:name="List 2" w:semiHidden="1"/>
    <w:lsdException w:name="List 3" w:semiHidden="1"/>
    <w:lsdException w:name="List 4" w:semiHidden="1"/>
    <w:lsdException w:name="List 5" w:semiHidden="1"/>
    <w:lsdException w:name="List Bullet 2" w:uiPriority="2" w:qFormat="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8" w:qFormat="1"/>
    <w:lsdException w:name="Closing" w:semiHidden="1"/>
    <w:lsdException w:name="Signature" w:semiHidden="1"/>
    <w:lsdException w:name="Default Paragraph Font" w:semiHidden="1" w:uiPriority="1" w:unhideWhenUsed="1"/>
    <w:lsdException w:name="Body Text" w:uiPriority="1" w:qFormat="1"/>
    <w:lsdException w:name="Body Text Indent" w:uiPriority="1" w:qFormat="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8" w:qFormat="1"/>
    <w:lsdException w:name="Salutation" w:semiHidden="1"/>
    <w:lsdException w:name="Date" w:semiHidden="1" w:uiPriority="8"/>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FollowedHyperlink" w:uiPriority="8"/>
    <w:lsdException w:name="Strong" w:semiHidden="1" w:qFormat="1"/>
    <w:lsdException w:name="Emphasis" w:semiHidden="1"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uiPriority="0"/>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qFormat="1"/>
    <w:lsdException w:name="Quote" w:semiHidden="1"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qFormat="1"/>
    <w:lsdException w:name="Subtle Reference" w:semiHidden="1" w:qFormat="1"/>
    <w:lsdException w:name="Intense Reference" w:semiHidden="1" w:qFormat="1"/>
    <w:lsdException w:name="Book Title" w:semiHidden="1" w:qFormat="1"/>
    <w:lsdException w:name="Bibliography" w:semiHidden="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unhideWhenUsed="1"/>
  </w:latentStyles>
  <w:style w:type="paragraph" w:default="1" w:styleId="Normal">
    <w:name w:val="Normal"/>
    <w:uiPriority w:val="8"/>
    <w:semiHidden/>
    <w:qFormat/>
    <w:rsid w:val="005F746C"/>
    <w:pPr>
      <w:spacing w:after="240" w:line="276" w:lineRule="auto"/>
    </w:pPr>
    <w:rPr>
      <w:sz w:val="24"/>
    </w:rPr>
  </w:style>
  <w:style w:type="paragraph" w:styleId="Heading1">
    <w:name w:val="heading 1"/>
    <w:next w:val="BodyText"/>
    <w:link w:val="Heading1Char"/>
    <w:qFormat/>
    <w:rsid w:val="00F507D8"/>
    <w:pPr>
      <w:keepNext/>
      <w:keepLines/>
      <w:spacing w:before="480" w:after="480" w:line="240" w:lineRule="auto"/>
      <w:contextualSpacing/>
      <w:outlineLvl w:val="0"/>
    </w:pPr>
    <w:rPr>
      <w:rFonts w:asciiTheme="majorHAnsi" w:eastAsiaTheme="majorEastAsia" w:hAnsiTheme="majorHAnsi" w:cstheme="majorBidi"/>
      <w:b/>
      <w:color w:val="1D609D" w:themeColor="accent1"/>
      <w:sz w:val="48"/>
      <w:szCs w:val="32"/>
    </w:rPr>
  </w:style>
  <w:style w:type="paragraph" w:styleId="Heading2">
    <w:name w:val="heading 2"/>
    <w:next w:val="BodyText"/>
    <w:link w:val="Heading2Char"/>
    <w:qFormat/>
    <w:rsid w:val="00F507D8"/>
    <w:pPr>
      <w:keepNext/>
      <w:keepLines/>
      <w:spacing w:before="240" w:after="120" w:line="276" w:lineRule="auto"/>
      <w:outlineLvl w:val="1"/>
    </w:pPr>
    <w:rPr>
      <w:rFonts w:asciiTheme="majorHAnsi" w:eastAsiaTheme="majorEastAsia" w:hAnsiTheme="majorHAnsi" w:cstheme="majorBidi"/>
      <w:b/>
      <w:sz w:val="32"/>
      <w:szCs w:val="26"/>
    </w:rPr>
  </w:style>
  <w:style w:type="paragraph" w:styleId="Heading3">
    <w:name w:val="heading 3"/>
    <w:next w:val="BodyText"/>
    <w:link w:val="Heading3Char"/>
    <w:qFormat/>
    <w:rsid w:val="002F075A"/>
    <w:pPr>
      <w:keepNext/>
      <w:keepLines/>
      <w:spacing w:after="0" w:line="276" w:lineRule="auto"/>
      <w:contextualSpacing/>
      <w:outlineLvl w:val="2"/>
    </w:pPr>
    <w:rPr>
      <w:rFonts w:asciiTheme="majorHAnsi" w:eastAsiaTheme="majorEastAsia" w:hAnsiTheme="majorHAnsi" w:cstheme="majorBidi"/>
      <w:b/>
      <w:sz w:val="24"/>
      <w:szCs w:val="24"/>
    </w:rPr>
  </w:style>
  <w:style w:type="paragraph" w:styleId="Heading4">
    <w:name w:val="heading 4"/>
    <w:next w:val="BodyText"/>
    <w:link w:val="Heading4Char"/>
    <w:qFormat/>
    <w:rsid w:val="002F075A"/>
    <w:pPr>
      <w:keepNext/>
      <w:keepLines/>
      <w:spacing w:after="0" w:line="276" w:lineRule="auto"/>
      <w:contextualSpacing/>
      <w:outlineLvl w:val="3"/>
    </w:pPr>
    <w:rPr>
      <w:rFonts w:asciiTheme="majorHAnsi" w:eastAsiaTheme="majorEastAsia" w:hAnsiTheme="majorHAnsi" w:cstheme="majorBidi"/>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BodyText"/>
    <w:link w:val="FootnoteTextChar"/>
    <w:uiPriority w:val="3"/>
    <w:qFormat/>
    <w:rsid w:val="00916276"/>
    <w:pPr>
      <w:spacing w:after="40" w:line="240" w:lineRule="auto"/>
      <w:ind w:left="284" w:hanging="284"/>
    </w:pPr>
    <w:rPr>
      <w:sz w:val="20"/>
      <w:szCs w:val="20"/>
    </w:rPr>
  </w:style>
  <w:style w:type="character" w:customStyle="1" w:styleId="FootnoteTextChar">
    <w:name w:val="Footnote Text Char"/>
    <w:basedOn w:val="DefaultParagraphFont"/>
    <w:link w:val="FootnoteText"/>
    <w:uiPriority w:val="3"/>
    <w:rsid w:val="00916276"/>
    <w:rPr>
      <w:sz w:val="20"/>
      <w:szCs w:val="20"/>
    </w:rPr>
  </w:style>
  <w:style w:type="character" w:styleId="FootnoteReference">
    <w:name w:val="footnote reference"/>
    <w:basedOn w:val="DefaultParagraphFont"/>
    <w:uiPriority w:val="3"/>
    <w:semiHidden/>
    <w:rsid w:val="00B91315"/>
    <w:rPr>
      <w:vertAlign w:val="superscript"/>
    </w:rPr>
  </w:style>
  <w:style w:type="paragraph" w:styleId="Title">
    <w:name w:val="Title"/>
    <w:next w:val="Subtitle"/>
    <w:link w:val="TitleChar"/>
    <w:uiPriority w:val="8"/>
    <w:qFormat/>
    <w:rsid w:val="005F746C"/>
    <w:pPr>
      <w:spacing w:before="2940" w:after="0" w:line="240" w:lineRule="auto"/>
      <w:contextualSpacing/>
      <w:outlineLvl w:val="0"/>
    </w:pPr>
    <w:rPr>
      <w:rFonts w:asciiTheme="majorHAnsi" w:eastAsiaTheme="majorEastAsia" w:hAnsiTheme="majorHAnsi" w:cstheme="majorBidi"/>
      <w:b/>
      <w:color w:val="1D609D" w:themeColor="accent1"/>
      <w:sz w:val="68"/>
      <w:szCs w:val="56"/>
    </w:rPr>
  </w:style>
  <w:style w:type="character" w:customStyle="1" w:styleId="TitleChar">
    <w:name w:val="Title Char"/>
    <w:basedOn w:val="DefaultParagraphFont"/>
    <w:link w:val="Title"/>
    <w:uiPriority w:val="8"/>
    <w:rsid w:val="005F746C"/>
    <w:rPr>
      <w:rFonts w:asciiTheme="majorHAnsi" w:eastAsiaTheme="majorEastAsia" w:hAnsiTheme="majorHAnsi" w:cstheme="majorBidi"/>
      <w:b/>
      <w:color w:val="1D609D" w:themeColor="accent1"/>
      <w:sz w:val="68"/>
      <w:szCs w:val="56"/>
    </w:rPr>
  </w:style>
  <w:style w:type="paragraph" w:styleId="Subtitle">
    <w:name w:val="Subtitle"/>
    <w:next w:val="BodyText"/>
    <w:link w:val="SubtitleChar"/>
    <w:uiPriority w:val="8"/>
    <w:qFormat/>
    <w:rsid w:val="005F746C"/>
    <w:pPr>
      <w:numPr>
        <w:ilvl w:val="1"/>
      </w:numPr>
      <w:spacing w:after="0" w:line="240" w:lineRule="auto"/>
      <w:contextualSpacing/>
      <w:outlineLvl w:val="1"/>
    </w:pPr>
    <w:rPr>
      <w:rFonts w:asciiTheme="majorHAnsi" w:eastAsiaTheme="minorEastAsia" w:hAnsiTheme="majorHAnsi"/>
      <w:b/>
      <w:color w:val="1D609D" w:themeColor="accent1"/>
      <w:sz w:val="48"/>
    </w:rPr>
  </w:style>
  <w:style w:type="character" w:customStyle="1" w:styleId="SubtitleChar">
    <w:name w:val="Subtitle Char"/>
    <w:basedOn w:val="DefaultParagraphFont"/>
    <w:link w:val="Subtitle"/>
    <w:uiPriority w:val="8"/>
    <w:rsid w:val="005F746C"/>
    <w:rPr>
      <w:rFonts w:asciiTheme="majorHAnsi" w:eastAsiaTheme="minorEastAsia" w:hAnsiTheme="majorHAnsi"/>
      <w:b/>
      <w:color w:val="1D609D" w:themeColor="accent1"/>
      <w:sz w:val="48"/>
    </w:rPr>
  </w:style>
  <w:style w:type="character" w:styleId="FollowedHyperlink">
    <w:name w:val="FollowedHyperlink"/>
    <w:uiPriority w:val="8"/>
    <w:unhideWhenUsed/>
    <w:rsid w:val="00D50660"/>
    <w:rPr>
      <w:color w:val="00B1EB" w:themeColor="followedHyperlink"/>
      <w:u w:val="single"/>
    </w:rPr>
  </w:style>
  <w:style w:type="character" w:customStyle="1" w:styleId="Heading1Char">
    <w:name w:val="Heading 1 Char"/>
    <w:basedOn w:val="DefaultParagraphFont"/>
    <w:link w:val="Heading1"/>
    <w:rsid w:val="00F507D8"/>
    <w:rPr>
      <w:rFonts w:asciiTheme="majorHAnsi" w:eastAsiaTheme="majorEastAsia" w:hAnsiTheme="majorHAnsi" w:cstheme="majorBidi"/>
      <w:b/>
      <w:color w:val="1D609D" w:themeColor="accent1"/>
      <w:sz w:val="48"/>
      <w:szCs w:val="32"/>
    </w:rPr>
  </w:style>
  <w:style w:type="paragraph" w:styleId="TOCHeading">
    <w:name w:val="TOC Heading"/>
    <w:basedOn w:val="Heading1"/>
    <w:next w:val="BodyText"/>
    <w:uiPriority w:val="39"/>
    <w:qFormat/>
    <w:rsid w:val="00AD05F3"/>
    <w:pPr>
      <w:outlineLvl w:val="9"/>
    </w:pPr>
  </w:style>
  <w:style w:type="character" w:customStyle="1" w:styleId="Heading2Char">
    <w:name w:val="Heading 2 Char"/>
    <w:basedOn w:val="DefaultParagraphFont"/>
    <w:link w:val="Heading2"/>
    <w:rsid w:val="00F507D8"/>
    <w:rPr>
      <w:rFonts w:asciiTheme="majorHAnsi" w:eastAsiaTheme="majorEastAsia" w:hAnsiTheme="majorHAnsi" w:cstheme="majorBidi"/>
      <w:b/>
      <w:sz w:val="32"/>
      <w:szCs w:val="26"/>
    </w:rPr>
  </w:style>
  <w:style w:type="character" w:customStyle="1" w:styleId="Heading3Char">
    <w:name w:val="Heading 3 Char"/>
    <w:basedOn w:val="DefaultParagraphFont"/>
    <w:link w:val="Heading3"/>
    <w:rsid w:val="002F075A"/>
    <w:rPr>
      <w:rFonts w:asciiTheme="majorHAnsi" w:eastAsiaTheme="majorEastAsia" w:hAnsiTheme="majorHAnsi" w:cstheme="majorBidi"/>
      <w:b/>
      <w:sz w:val="24"/>
      <w:szCs w:val="24"/>
    </w:rPr>
  </w:style>
  <w:style w:type="character" w:customStyle="1" w:styleId="Heading4Char">
    <w:name w:val="Heading 4 Char"/>
    <w:basedOn w:val="DefaultParagraphFont"/>
    <w:link w:val="Heading4"/>
    <w:rsid w:val="002F075A"/>
    <w:rPr>
      <w:rFonts w:asciiTheme="majorHAnsi" w:eastAsiaTheme="majorEastAsia" w:hAnsiTheme="majorHAnsi" w:cstheme="majorBidi"/>
      <w:i/>
      <w:iCs/>
      <w:sz w:val="24"/>
    </w:rPr>
  </w:style>
  <w:style w:type="paragraph" w:styleId="BodyText">
    <w:name w:val="Body Text"/>
    <w:link w:val="BodyTextChar"/>
    <w:uiPriority w:val="1"/>
    <w:qFormat/>
    <w:rsid w:val="002F075A"/>
    <w:pPr>
      <w:spacing w:after="240" w:line="276" w:lineRule="auto"/>
    </w:pPr>
    <w:rPr>
      <w:sz w:val="24"/>
    </w:rPr>
  </w:style>
  <w:style w:type="character" w:customStyle="1" w:styleId="BodyTextChar">
    <w:name w:val="Body Text Char"/>
    <w:basedOn w:val="DefaultParagraphFont"/>
    <w:link w:val="BodyText"/>
    <w:uiPriority w:val="1"/>
    <w:rsid w:val="002F075A"/>
    <w:rPr>
      <w:sz w:val="24"/>
    </w:rPr>
  </w:style>
  <w:style w:type="paragraph" w:styleId="BodyTextIndent">
    <w:name w:val="Body Text Indent"/>
    <w:basedOn w:val="BodyText"/>
    <w:link w:val="BodyTextIndentChar"/>
    <w:uiPriority w:val="1"/>
    <w:qFormat/>
    <w:rsid w:val="002F075A"/>
    <w:pPr>
      <w:ind w:left="357"/>
    </w:pPr>
  </w:style>
  <w:style w:type="character" w:customStyle="1" w:styleId="BodyTextIndentChar">
    <w:name w:val="Body Text Indent Char"/>
    <w:basedOn w:val="DefaultParagraphFont"/>
    <w:link w:val="BodyTextIndent"/>
    <w:uiPriority w:val="1"/>
    <w:rsid w:val="002F075A"/>
    <w:rPr>
      <w:sz w:val="24"/>
    </w:rPr>
  </w:style>
  <w:style w:type="paragraph" w:styleId="ListBullet">
    <w:name w:val="List Bullet"/>
    <w:basedOn w:val="BodyText"/>
    <w:uiPriority w:val="2"/>
    <w:qFormat/>
    <w:rsid w:val="00446DDB"/>
    <w:pPr>
      <w:numPr>
        <w:numId w:val="1"/>
      </w:numPr>
      <w:contextualSpacing/>
    </w:pPr>
  </w:style>
  <w:style w:type="paragraph" w:styleId="ListBullet2">
    <w:name w:val="List Bullet 2"/>
    <w:uiPriority w:val="2"/>
    <w:qFormat/>
    <w:rsid w:val="00446DDB"/>
    <w:pPr>
      <w:numPr>
        <w:numId w:val="2"/>
      </w:numPr>
      <w:spacing w:after="240" w:line="276" w:lineRule="auto"/>
      <w:contextualSpacing/>
    </w:pPr>
    <w:rPr>
      <w:sz w:val="24"/>
    </w:rPr>
  </w:style>
  <w:style w:type="paragraph" w:styleId="ListNumber">
    <w:name w:val="List Number"/>
    <w:basedOn w:val="BodyText"/>
    <w:uiPriority w:val="1"/>
    <w:qFormat/>
    <w:rsid w:val="002F075A"/>
    <w:pPr>
      <w:numPr>
        <w:numId w:val="3"/>
      </w:numPr>
    </w:pPr>
  </w:style>
  <w:style w:type="paragraph" w:styleId="Header">
    <w:name w:val="header"/>
    <w:basedOn w:val="BodyText"/>
    <w:link w:val="HeaderChar"/>
    <w:uiPriority w:val="8"/>
    <w:semiHidden/>
    <w:rsid w:val="009A1CE1"/>
    <w:pPr>
      <w:spacing w:after="0"/>
      <w:jc w:val="center"/>
    </w:pPr>
    <w:rPr>
      <w:sz w:val="18"/>
    </w:rPr>
  </w:style>
  <w:style w:type="character" w:customStyle="1" w:styleId="HeaderChar">
    <w:name w:val="Header Char"/>
    <w:basedOn w:val="DefaultParagraphFont"/>
    <w:link w:val="Header"/>
    <w:uiPriority w:val="8"/>
    <w:semiHidden/>
    <w:rsid w:val="00BC4DBC"/>
    <w:rPr>
      <w:sz w:val="18"/>
    </w:rPr>
  </w:style>
  <w:style w:type="paragraph" w:styleId="Footer">
    <w:name w:val="footer"/>
    <w:basedOn w:val="BodyText"/>
    <w:link w:val="FooterChar"/>
    <w:uiPriority w:val="8"/>
    <w:semiHidden/>
    <w:rsid w:val="00990242"/>
    <w:pPr>
      <w:spacing w:after="0" w:line="240" w:lineRule="auto"/>
      <w:jc w:val="center"/>
    </w:pPr>
    <w:rPr>
      <w:b/>
    </w:rPr>
  </w:style>
  <w:style w:type="character" w:customStyle="1" w:styleId="FooterChar">
    <w:name w:val="Footer Char"/>
    <w:basedOn w:val="DefaultParagraphFont"/>
    <w:link w:val="Footer"/>
    <w:uiPriority w:val="8"/>
    <w:semiHidden/>
    <w:rsid w:val="00BC4DBC"/>
    <w:rPr>
      <w:b/>
      <w:sz w:val="24"/>
    </w:rPr>
  </w:style>
  <w:style w:type="paragraph" w:styleId="TOC1">
    <w:name w:val="toc 1"/>
    <w:basedOn w:val="BodyText"/>
    <w:uiPriority w:val="39"/>
    <w:rsid w:val="003D27AC"/>
    <w:pPr>
      <w:tabs>
        <w:tab w:val="right" w:pos="9639"/>
      </w:tabs>
      <w:spacing w:before="240" w:after="120"/>
    </w:pPr>
    <w:rPr>
      <w:b/>
    </w:rPr>
  </w:style>
  <w:style w:type="paragraph" w:styleId="TOC2">
    <w:name w:val="toc 2"/>
    <w:basedOn w:val="TOC1"/>
    <w:next w:val="BodyText"/>
    <w:uiPriority w:val="39"/>
    <w:rsid w:val="003D27AC"/>
    <w:pPr>
      <w:spacing w:before="0"/>
    </w:pPr>
    <w:rPr>
      <w:b w:val="0"/>
    </w:rPr>
  </w:style>
  <w:style w:type="character" w:styleId="Hyperlink">
    <w:name w:val="Hyperlink"/>
    <w:basedOn w:val="Heading1Char"/>
    <w:uiPriority w:val="99"/>
    <w:unhideWhenUsed/>
    <w:rsid w:val="00990242"/>
    <w:rPr>
      <w:rFonts w:asciiTheme="majorHAnsi" w:eastAsiaTheme="majorEastAsia" w:hAnsiTheme="majorHAnsi" w:cstheme="majorBidi"/>
      <w:b/>
      <w:color w:val="00B1EB" w:themeColor="hyperlink"/>
      <w:sz w:val="48"/>
      <w:szCs w:val="32"/>
      <w:u w:val="single"/>
    </w:rPr>
  </w:style>
  <w:style w:type="paragraph" w:customStyle="1" w:styleId="EmphasisHeading">
    <w:name w:val="Emphasis Heading"/>
    <w:basedOn w:val="BodyText"/>
    <w:next w:val="EmphasisText"/>
    <w:uiPriority w:val="3"/>
    <w:qFormat/>
    <w:rsid w:val="00BA679C"/>
    <w:pPr>
      <w:keepNext/>
      <w:keepLines/>
      <w:pBdr>
        <w:top w:val="single" w:sz="48" w:space="6" w:color="F0FAFE"/>
        <w:left w:val="single" w:sz="48" w:space="4" w:color="F0FAFE"/>
        <w:bottom w:val="single" w:sz="48" w:space="6" w:color="F0FAFE"/>
        <w:right w:val="single" w:sz="48" w:space="4" w:color="F0FAFE"/>
      </w:pBdr>
      <w:shd w:val="clear" w:color="auto" w:fill="F0FAFE"/>
      <w:spacing w:before="240"/>
      <w:ind w:left="199"/>
    </w:pPr>
    <w:rPr>
      <w:b/>
      <w:color w:val="003057"/>
    </w:rPr>
  </w:style>
  <w:style w:type="paragraph" w:customStyle="1" w:styleId="EmphasisText">
    <w:name w:val="Emphasis Text"/>
    <w:basedOn w:val="BodyText"/>
    <w:uiPriority w:val="3"/>
    <w:qFormat/>
    <w:rsid w:val="00BA679C"/>
    <w:pPr>
      <w:keepLines/>
      <w:pBdr>
        <w:top w:val="single" w:sz="48" w:space="6" w:color="F0FAFE"/>
        <w:left w:val="single" w:sz="48" w:space="4" w:color="F0FAFE"/>
        <w:bottom w:val="single" w:sz="48" w:space="6" w:color="F0FAFE"/>
        <w:right w:val="single" w:sz="48" w:space="4" w:color="F0FAFE"/>
      </w:pBdr>
      <w:shd w:val="clear" w:color="auto" w:fill="F0FAFE"/>
      <w:ind w:left="199"/>
    </w:pPr>
    <w:rPr>
      <w:color w:val="003057"/>
    </w:rPr>
  </w:style>
  <w:style w:type="table" w:styleId="TableGrid">
    <w:name w:val="Table Grid"/>
    <w:basedOn w:val="TableNormal"/>
    <w:uiPriority w:val="39"/>
    <w:rsid w:val="00BA679C"/>
    <w:pPr>
      <w:spacing w:after="0" w:line="240" w:lineRule="auto"/>
    </w:pPr>
    <w:tblPr>
      <w:tblBorders>
        <w:top w:val="single" w:sz="4" w:space="0" w:color="1D609D" w:themeColor="accent1"/>
        <w:left w:val="single" w:sz="4" w:space="0" w:color="1D609D" w:themeColor="accent1"/>
        <w:bottom w:val="single" w:sz="4" w:space="0" w:color="1D609D" w:themeColor="accent1"/>
        <w:right w:val="single" w:sz="4" w:space="0" w:color="1D609D" w:themeColor="accent1"/>
        <w:insideH w:val="single" w:sz="4" w:space="0" w:color="1D609D" w:themeColor="accent1"/>
        <w:insideV w:val="single" w:sz="4" w:space="0" w:color="1D609D" w:themeColor="accent1"/>
      </w:tblBorders>
      <w:tblCellMar>
        <w:top w:w="57" w:type="dxa"/>
        <w:left w:w="57" w:type="dxa"/>
        <w:bottom w:w="57" w:type="dxa"/>
        <w:right w:w="57" w:type="dxa"/>
      </w:tblCellMar>
    </w:tblPr>
    <w:tblStylePr w:type="firstRow">
      <w:pPr>
        <w:keepNext/>
        <w:keepLines/>
        <w:widowControl/>
        <w:wordWrap/>
      </w:pPr>
      <w:rPr>
        <w:b/>
        <w:color w:val="auto"/>
      </w:rPr>
      <w:tblPr/>
      <w:tcPr>
        <w:tcBorders>
          <w:top w:val="single" w:sz="4" w:space="0" w:color="1D609D" w:themeColor="accent1"/>
          <w:left w:val="single" w:sz="4" w:space="0" w:color="1D609D" w:themeColor="accent1"/>
          <w:bottom w:val="single" w:sz="4" w:space="0" w:color="1D609D" w:themeColor="accent1"/>
          <w:right w:val="single" w:sz="4" w:space="0" w:color="1D609D" w:themeColor="accent1"/>
          <w:insideH w:val="single" w:sz="4" w:space="0" w:color="1D609D" w:themeColor="accent1"/>
          <w:insideV w:val="single" w:sz="4" w:space="0" w:color="1D609D" w:themeColor="accent1"/>
          <w:tl2br w:val="nil"/>
          <w:tr2bl w:val="nil"/>
        </w:tcBorders>
        <w:shd w:val="clear" w:color="auto" w:fill="F0FAFE"/>
      </w:tcPr>
    </w:tblStylePr>
    <w:tblStylePr w:type="firstCol">
      <w:rPr>
        <w:b/>
        <w:i w:val="0"/>
      </w:rPr>
    </w:tblStylePr>
  </w:style>
  <w:style w:type="paragraph" w:customStyle="1" w:styleId="Covertext">
    <w:name w:val="Cover text"/>
    <w:basedOn w:val="BodyText"/>
    <w:uiPriority w:val="8"/>
    <w:semiHidden/>
    <w:qFormat/>
    <w:rsid w:val="00AE4DF7"/>
    <w:pPr>
      <w:spacing w:after="0"/>
    </w:pPr>
    <w:rPr>
      <w:color w:val="FFFFFF" w:themeColor="background1"/>
    </w:rPr>
  </w:style>
  <w:style w:type="character" w:styleId="UnresolvedMention">
    <w:name w:val="Unresolved Mention"/>
    <w:basedOn w:val="DefaultParagraphFont"/>
    <w:uiPriority w:val="99"/>
    <w:semiHidden/>
    <w:rsid w:val="00AD52C7"/>
    <w:rPr>
      <w:color w:val="808080"/>
      <w:shd w:val="clear" w:color="auto" w:fill="E6E6E6"/>
    </w:rPr>
  </w:style>
  <w:style w:type="paragraph" w:styleId="CommentText">
    <w:name w:val="annotation text"/>
    <w:basedOn w:val="Normal"/>
    <w:link w:val="CommentTextChar"/>
    <w:rsid w:val="00362297"/>
    <w:pPr>
      <w:spacing w:after="0" w:line="240" w:lineRule="auto"/>
    </w:pPr>
    <w:rPr>
      <w:rFonts w:ascii="Arial" w:eastAsia="Times New Roman" w:hAnsi="Arial" w:cs="Times New Roman"/>
      <w:sz w:val="20"/>
      <w:szCs w:val="20"/>
      <w:lang w:eastAsia="en-GB"/>
    </w:rPr>
  </w:style>
  <w:style w:type="character" w:customStyle="1" w:styleId="CommentTextChar">
    <w:name w:val="Comment Text Char"/>
    <w:basedOn w:val="DefaultParagraphFont"/>
    <w:link w:val="CommentText"/>
    <w:rsid w:val="00362297"/>
    <w:rPr>
      <w:rFonts w:ascii="Arial" w:eastAsia="Times New Roman" w:hAnsi="Arial" w:cs="Times New Roman"/>
      <w:sz w:val="20"/>
      <w:szCs w:val="20"/>
      <w:lang w:eastAsia="en-GB"/>
    </w:rPr>
  </w:style>
  <w:style w:type="paragraph" w:styleId="TOC3">
    <w:name w:val="toc 3"/>
    <w:basedOn w:val="Normal"/>
    <w:next w:val="Normal"/>
    <w:autoRedefine/>
    <w:uiPriority w:val="39"/>
    <w:rsid w:val="00362297"/>
    <w:pPr>
      <w:spacing w:after="100"/>
      <w:ind w:left="480"/>
    </w:pPr>
  </w:style>
  <w:style w:type="paragraph" w:styleId="CommentSubject">
    <w:name w:val="annotation subject"/>
    <w:basedOn w:val="CommentText"/>
    <w:next w:val="CommentText"/>
    <w:link w:val="CommentSubjectChar"/>
    <w:rsid w:val="00044A2D"/>
    <w:rPr>
      <w:b/>
      <w:bCs/>
    </w:rPr>
  </w:style>
  <w:style w:type="character" w:customStyle="1" w:styleId="CommentSubjectChar">
    <w:name w:val="Comment Subject Char"/>
    <w:basedOn w:val="CommentTextChar"/>
    <w:link w:val="CommentSubject"/>
    <w:rsid w:val="00044A2D"/>
    <w:rPr>
      <w:rFonts w:ascii="Arial" w:eastAsia="Times New Roman" w:hAnsi="Arial" w:cs="Times New Roman"/>
      <w:b/>
      <w:bCs/>
      <w:sz w:val="20"/>
      <w:szCs w:val="20"/>
      <w:lang w:eastAsia="en-GB"/>
    </w:rPr>
  </w:style>
  <w:style w:type="paragraph" w:styleId="Revision">
    <w:name w:val="Revision"/>
    <w:hidden/>
    <w:uiPriority w:val="99"/>
    <w:semiHidden/>
    <w:rsid w:val="003654A6"/>
    <w:pPr>
      <w:spacing w:after="0" w:line="240" w:lineRule="auto"/>
    </w:pPr>
    <w:rPr>
      <w:rFonts w:ascii="Arial" w:eastAsia="Times New Roman" w:hAnsi="Arial"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8190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emf"/><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online.cardinus.com/Course/MJ/ergo/Hub"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nline.cardinus.com/Course/MJ/ergo/Hub%20"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kc71u\Downloads\word-short-report-template%20(1).dotx" TargetMode="External"/></Relationships>
</file>

<file path=word/theme/theme1.xml><?xml version="1.0" encoding="utf-8"?>
<a:theme xmlns:a="http://schemas.openxmlformats.org/drawingml/2006/main" name="Office Theme">
  <a:themeElements>
    <a:clrScheme name="MoJ">
      <a:dk1>
        <a:sysClr val="windowText" lastClr="000000"/>
      </a:dk1>
      <a:lt1>
        <a:sysClr val="window" lastClr="FFFFFF"/>
      </a:lt1>
      <a:dk2>
        <a:srgbClr val="000000"/>
      </a:dk2>
      <a:lt2>
        <a:srgbClr val="FFFFFF"/>
      </a:lt2>
      <a:accent1>
        <a:srgbClr val="1D609D"/>
      </a:accent1>
      <a:accent2>
        <a:srgbClr val="30AA51"/>
      </a:accent2>
      <a:accent3>
        <a:srgbClr val="E9426E"/>
      </a:accent3>
      <a:accent4>
        <a:srgbClr val="565B96"/>
      </a:accent4>
      <a:accent5>
        <a:srgbClr val="00A5A1"/>
      </a:accent5>
      <a:accent6>
        <a:srgbClr val="EE7127"/>
      </a:accent6>
      <a:hlink>
        <a:srgbClr val="00B1EB"/>
      </a:hlink>
      <a:folHlink>
        <a:srgbClr val="00B1EB"/>
      </a:folHlink>
    </a:clrScheme>
    <a:fontScheme name="MoJ">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9d73eae-3c04-45d4-b893-ed5b3d18657c">
      <Terms xmlns="http://schemas.microsoft.com/office/infopath/2007/PartnerControls"/>
    </lcf76f155ced4ddcb4097134ff3c332f>
    <TaxCatchAll xmlns="061fc9ba-9c3e-4d4f-9620-b0f774d9021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4871B009835C2448F884C6632518520" ma:contentTypeVersion="14" ma:contentTypeDescription="Create a new document." ma:contentTypeScope="" ma:versionID="d6e3944f63abf11e6730e4150a7bba5d">
  <xsd:schema xmlns:xsd="http://www.w3.org/2001/XMLSchema" xmlns:xs="http://www.w3.org/2001/XMLSchema" xmlns:p="http://schemas.microsoft.com/office/2006/metadata/properties" xmlns:ns2="39d73eae-3c04-45d4-b893-ed5b3d18657c" xmlns:ns3="061fc9ba-9c3e-4d4f-9620-b0f774d9021b" targetNamespace="http://schemas.microsoft.com/office/2006/metadata/properties" ma:root="true" ma:fieldsID="dd90055c9f816c4c88afb8d01bb6e0f8" ns2:_="" ns3:_="">
    <xsd:import namespace="39d73eae-3c04-45d4-b893-ed5b3d18657c"/>
    <xsd:import namespace="061fc9ba-9c3e-4d4f-9620-b0f774d9021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d73eae-3c04-45d4-b893-ed5b3d1865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5b7e4bc-7c04-4239-a3c8-056ff7db7bf8"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1fc9ba-9c3e-4d4f-9620-b0f774d9021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de88ab70-cc99-4d20-b467-7de9cec96ad8}" ma:internalName="TaxCatchAll" ma:showField="CatchAllData" ma:web="061fc9ba-9c3e-4d4f-9620-b0f774d902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CEB441-8E69-47A5-9335-F364EE1245A9}">
  <ds:schemaRefs>
    <ds:schemaRef ds:uri="http://schemas.openxmlformats.org/officeDocument/2006/bibliography"/>
  </ds:schemaRefs>
</ds:datastoreItem>
</file>

<file path=customXml/itemProps2.xml><?xml version="1.0" encoding="utf-8"?>
<ds:datastoreItem xmlns:ds="http://schemas.openxmlformats.org/officeDocument/2006/customXml" ds:itemID="{2F7EF647-9D22-4930-87AF-2B0ED96ADD99}">
  <ds:schemaRefs>
    <ds:schemaRef ds:uri="http://schemas.microsoft.com/office/2006/metadata/properties"/>
    <ds:schemaRef ds:uri="http://schemas.microsoft.com/office/infopath/2007/PartnerControls"/>
    <ds:schemaRef ds:uri="39d73eae-3c04-45d4-b893-ed5b3d18657c"/>
    <ds:schemaRef ds:uri="061fc9ba-9c3e-4d4f-9620-b0f774d9021b"/>
  </ds:schemaRefs>
</ds:datastoreItem>
</file>

<file path=customXml/itemProps3.xml><?xml version="1.0" encoding="utf-8"?>
<ds:datastoreItem xmlns:ds="http://schemas.openxmlformats.org/officeDocument/2006/customXml" ds:itemID="{4A48F24D-40A1-4811-99A5-C458992498C8}">
  <ds:schemaRefs>
    <ds:schemaRef ds:uri="http://schemas.microsoft.com/sharepoint/v3/contenttype/forms"/>
  </ds:schemaRefs>
</ds:datastoreItem>
</file>

<file path=customXml/itemProps4.xml><?xml version="1.0" encoding="utf-8"?>
<ds:datastoreItem xmlns:ds="http://schemas.openxmlformats.org/officeDocument/2006/customXml" ds:itemID="{E059B7D3-34EF-45E4-BBA1-706A72A171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d73eae-3c04-45d4-b893-ed5b3d18657c"/>
    <ds:schemaRef ds:uri="061fc9ba-9c3e-4d4f-9620-b0f774d902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word-short-report-template (1)</Template>
  <TotalTime>0</TotalTime>
  <Pages>15</Pages>
  <Words>3303</Words>
  <Characters>18832</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Display Screen Equipment (DSE) Guidance</vt:lpstr>
    </vt:vector>
  </TitlesOfParts>
  <Manager>Megan Clay </Manager>
  <Company>Ministry of Justice</Company>
  <LinksUpToDate>false</LinksUpToDate>
  <CharactersWithSpaces>22091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Display Screen Equipment (DSE) Guidance</dc:title>
  <dc:subject>Information &amp; Guidance </dc:subject>
  <dc:creator>Corporate Fire, Health and Safety Team </dc:creator>
  <cp:keywords>DSE</cp:keywords>
  <dc:description/>
  <cp:lastModifiedBy>Gordon, Jo</cp:lastModifiedBy>
  <cp:revision>2</cp:revision>
  <dcterms:created xsi:type="dcterms:W3CDTF">2025-04-30T09:58:00Z</dcterms:created>
  <dcterms:modified xsi:type="dcterms:W3CDTF">2025-04-30T09:58:00Z</dcterms:modified>
  <cp:category>Health and Safety</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0x010100F4871B009835C2448F884C6632518520</vt:lpwstr>
  </property>
  <property fmtid="{D5CDD505-2E9C-101B-9397-08002B2CF9AE}" pid="3" name="MediaServiceImageTags">
    <vt:lpwstr/>
  </property>
</Properties>
</file>